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1F" w:rsidRDefault="007D461F" w:rsidP="007D461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Общ регламент за групово освобождаване (Регламент № 651/2014) — работен документ</w:t>
      </w:r>
    </w:p>
    <w:p w:rsidR="00FF40FA" w:rsidRDefault="00FF40FA" w:rsidP="007D46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Помощи за местни инфраструктури</w:t>
      </w:r>
    </w:p>
    <w:p w:rsidR="007D461F" w:rsidRDefault="007D461F">
      <w:r>
        <w:t>Най-напред следва да бъдат проверени общите условия за прилагането на ОРГО (12 условия/членове 1—12), а след това И условията по отношение на помощите за местни инфраструктури.</w:t>
      </w:r>
    </w:p>
    <w:p w:rsidR="007D461F" w:rsidRPr="00404CBC" w:rsidRDefault="007D461F" w:rsidP="007D46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А. Общи условия за прилагане</w:t>
      </w:r>
    </w:p>
    <w:p w:rsidR="007D461F" w:rsidRPr="00402659" w:rsidRDefault="007D461F" w:rsidP="007D461F">
      <w:pPr>
        <w:ind w:left="-360" w:right="-134"/>
        <w:jc w:val="both"/>
        <w:rPr>
          <w:sz w:val="16"/>
          <w:szCs w:val="16"/>
        </w:rPr>
      </w:pPr>
    </w:p>
    <w:p w:rsidR="007D461F" w:rsidRPr="00402659" w:rsidRDefault="007D461F" w:rsidP="007D461F">
      <w:pPr>
        <w:rPr>
          <w:sz w:val="16"/>
          <w:szCs w:val="16"/>
        </w:rPr>
      </w:pPr>
    </w:p>
    <w:tbl>
      <w:tblPr>
        <w:tblW w:w="146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3"/>
        <w:gridCol w:w="6379"/>
      </w:tblGrid>
      <w:tr w:rsidR="000E10AB" w:rsidRPr="00BB2CA7" w:rsidTr="00895393">
        <w:trPr>
          <w:trHeight w:val="145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333399"/>
          </w:tcPr>
          <w:p w:rsidR="000E10AB" w:rsidRPr="00BB2CA7" w:rsidRDefault="00593387" w:rsidP="00C5368A">
            <w:pPr>
              <w:tabs>
                <w:tab w:val="center" w:pos="3549"/>
              </w:tabs>
              <w:ind w:left="360"/>
              <w:rPr>
                <w:b/>
                <w:smallCaps/>
                <w:color w:val="FFFFFF"/>
                <w:sz w:val="28"/>
                <w:szCs w:val="28"/>
              </w:rPr>
            </w:pPr>
            <w:r>
              <w:tab/>
            </w:r>
            <w:r>
              <w:rPr>
                <w:b/>
                <w:smallCaps/>
                <w:color w:val="FFFFFF"/>
                <w:sz w:val="28"/>
              </w:rPr>
              <w:t>Общи условия за съвместимост</w:t>
            </w:r>
          </w:p>
        </w:tc>
        <w:tc>
          <w:tcPr>
            <w:tcW w:w="6379" w:type="dxa"/>
            <w:shd w:val="clear" w:color="auto" w:fill="333399"/>
          </w:tcPr>
          <w:p w:rsidR="000E10AB" w:rsidRPr="00BB2CA7" w:rsidRDefault="000E10AB" w:rsidP="00BB2CA7">
            <w:pPr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</w:rPr>
              <w:t>Проверка на съответствието (OK?)</w:t>
            </w:r>
          </w:p>
        </w:tc>
      </w:tr>
      <w:tr w:rsidR="000E10AB" w:rsidRPr="0017445D" w:rsidTr="00895393">
        <w:trPr>
          <w:trHeight w:val="145"/>
        </w:trPr>
        <w:tc>
          <w:tcPr>
            <w:tcW w:w="8233" w:type="dxa"/>
            <w:shd w:val="clear" w:color="auto" w:fill="D9D9D9"/>
          </w:tcPr>
          <w:p w:rsidR="000E10AB" w:rsidRPr="00BB2CA7" w:rsidRDefault="000E10AB" w:rsidP="00DD0E27">
            <w:pPr>
              <w:rPr>
                <w:b/>
              </w:rPr>
            </w:pPr>
            <w:r>
              <w:rPr>
                <w:b/>
              </w:rPr>
              <w:t>Член 1 — Изключване на някои дейности (параграф 2)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0E10AB" w:rsidRPr="0017445D" w:rsidRDefault="000E10AB" w:rsidP="00867005"/>
        </w:tc>
      </w:tr>
      <w:tr w:rsidR="000E10AB" w:rsidRPr="0017445D" w:rsidTr="00895393">
        <w:trPr>
          <w:trHeight w:val="145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0E10AB" w:rsidRPr="00D45042" w:rsidRDefault="000E10AB" w:rsidP="00BB2CA7">
            <w:pPr>
              <w:jc w:val="both"/>
              <w:rPr>
                <w:sz w:val="22"/>
                <w:szCs w:val="22"/>
              </w:rPr>
            </w:pPr>
            <w:r w:rsidRPr="00D45042">
              <w:rPr>
                <w:b/>
                <w:sz w:val="22"/>
                <w:szCs w:val="22"/>
                <w:u w:val="single"/>
              </w:rPr>
              <w:t>Не</w:t>
            </w:r>
            <w:r w:rsidRPr="00D45042">
              <w:rPr>
                <w:sz w:val="22"/>
                <w:szCs w:val="22"/>
              </w:rPr>
              <w:t xml:space="preserve"> се прилага за:</w:t>
            </w:r>
          </w:p>
          <w:p w:rsidR="000E10AB" w:rsidRPr="00D45042" w:rsidRDefault="000E10AB" w:rsidP="00D177B0">
            <w:pPr>
              <w:numPr>
                <w:ilvl w:val="0"/>
                <w:numId w:val="1"/>
              </w:numPr>
              <w:tabs>
                <w:tab w:val="clear" w:pos="720"/>
                <w:tab w:val="num" w:pos="328"/>
              </w:tabs>
              <w:ind w:left="328" w:hanging="283"/>
              <w:jc w:val="both"/>
              <w:rPr>
                <w:sz w:val="22"/>
                <w:szCs w:val="22"/>
              </w:rPr>
            </w:pPr>
            <w:r w:rsidRPr="00D45042">
              <w:rPr>
                <w:sz w:val="22"/>
                <w:szCs w:val="22"/>
              </w:rPr>
              <w:t xml:space="preserve">помощи за дейности, свързани с износ; </w:t>
            </w:r>
          </w:p>
          <w:p w:rsidR="000E10AB" w:rsidRPr="00571298" w:rsidRDefault="000E10AB" w:rsidP="00FF4806">
            <w:pPr>
              <w:numPr>
                <w:ilvl w:val="0"/>
                <w:numId w:val="1"/>
              </w:numPr>
              <w:tabs>
                <w:tab w:val="clear" w:pos="720"/>
                <w:tab w:val="num" w:pos="328"/>
              </w:tabs>
              <w:ind w:left="328" w:hanging="283"/>
              <w:jc w:val="both"/>
            </w:pPr>
            <w:r w:rsidRPr="004114F5">
              <w:rPr>
                <w:spacing w:val="-4"/>
                <w:sz w:val="22"/>
                <w:szCs w:val="22"/>
              </w:rPr>
              <w:t>помощи, обвързани с условието за използване на местни за сметка на вносни стоки</w:t>
            </w:r>
            <w:r w:rsidRPr="00D45042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vMerge/>
            <w:shd w:val="clear" w:color="auto" w:fill="auto"/>
          </w:tcPr>
          <w:p w:rsidR="000E10AB" w:rsidRPr="0017445D" w:rsidRDefault="000E10AB" w:rsidP="00867005"/>
        </w:tc>
      </w:tr>
      <w:tr w:rsidR="000E10AB" w:rsidRPr="0017445D" w:rsidTr="00895393">
        <w:trPr>
          <w:trHeight w:val="145"/>
        </w:trPr>
        <w:tc>
          <w:tcPr>
            <w:tcW w:w="8233" w:type="dxa"/>
            <w:shd w:val="clear" w:color="auto" w:fill="D9D9D9"/>
          </w:tcPr>
          <w:p w:rsidR="000E10AB" w:rsidRPr="00BB2CA7" w:rsidRDefault="000E10AB" w:rsidP="00BB2CA7">
            <w:pPr>
              <w:jc w:val="both"/>
              <w:rPr>
                <w:b/>
              </w:rPr>
            </w:pPr>
            <w:r>
              <w:rPr>
                <w:b/>
              </w:rPr>
              <w:t>Член 1 — Изключване на някои сектори (параграф 3)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0E10AB" w:rsidRPr="0017445D" w:rsidRDefault="000E10AB" w:rsidP="00867005"/>
        </w:tc>
      </w:tr>
      <w:tr w:rsidR="000E10AB" w:rsidRPr="0017445D" w:rsidTr="00895393">
        <w:trPr>
          <w:trHeight w:val="145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3E73DD" w:rsidRPr="00D45042" w:rsidRDefault="003E73DD" w:rsidP="003E73DD">
            <w:pPr>
              <w:numPr>
                <w:ilvl w:val="0"/>
                <w:numId w:val="2"/>
              </w:numPr>
              <w:tabs>
                <w:tab w:val="clear" w:pos="720"/>
                <w:tab w:val="num" w:pos="328"/>
              </w:tabs>
              <w:ind w:left="328" w:hanging="283"/>
              <w:jc w:val="both"/>
              <w:rPr>
                <w:color w:val="FF0000"/>
                <w:sz w:val="22"/>
                <w:szCs w:val="22"/>
              </w:rPr>
            </w:pPr>
            <w:r w:rsidRPr="00D45042">
              <w:rPr>
                <w:sz w:val="22"/>
                <w:szCs w:val="22"/>
              </w:rPr>
              <w:t>Риболов и аквакултури* (съгласно Регламент (ЕС) № 1379/2013</w:t>
            </w:r>
            <w:r w:rsidRPr="00D45042">
              <w:rPr>
                <w:color w:val="FF0000"/>
                <w:sz w:val="22"/>
                <w:szCs w:val="22"/>
              </w:rPr>
              <w:t>)</w:t>
            </w:r>
            <w:r w:rsidRPr="00D45042">
              <w:rPr>
                <w:sz w:val="22"/>
                <w:szCs w:val="22"/>
              </w:rPr>
              <w:t>;</w:t>
            </w:r>
          </w:p>
          <w:p w:rsidR="003E73DD" w:rsidRPr="00D45042" w:rsidRDefault="003E73DD" w:rsidP="003E73DD">
            <w:pPr>
              <w:numPr>
                <w:ilvl w:val="0"/>
                <w:numId w:val="2"/>
              </w:numPr>
              <w:tabs>
                <w:tab w:val="clear" w:pos="720"/>
                <w:tab w:val="num" w:pos="328"/>
              </w:tabs>
              <w:ind w:left="328" w:hanging="283"/>
              <w:rPr>
                <w:sz w:val="22"/>
                <w:szCs w:val="22"/>
              </w:rPr>
            </w:pPr>
            <w:r w:rsidRPr="00D45042">
              <w:rPr>
                <w:sz w:val="22"/>
                <w:szCs w:val="22"/>
              </w:rPr>
              <w:t>Първично производство на селскостопански продукти*;</w:t>
            </w:r>
          </w:p>
          <w:p w:rsidR="003E73DD" w:rsidRPr="00D45042" w:rsidRDefault="003E73DD" w:rsidP="003E73DD">
            <w:pPr>
              <w:numPr>
                <w:ilvl w:val="0"/>
                <w:numId w:val="2"/>
              </w:numPr>
              <w:tabs>
                <w:tab w:val="clear" w:pos="720"/>
                <w:tab w:val="num" w:pos="328"/>
              </w:tabs>
              <w:autoSpaceDE w:val="0"/>
              <w:autoSpaceDN w:val="0"/>
              <w:adjustRightInd w:val="0"/>
              <w:ind w:left="328" w:hanging="283"/>
              <w:jc w:val="both"/>
              <w:rPr>
                <w:color w:val="FF0000"/>
                <w:sz w:val="22"/>
                <w:szCs w:val="22"/>
              </w:rPr>
            </w:pPr>
            <w:r w:rsidRPr="00D45042">
              <w:rPr>
                <w:sz w:val="22"/>
                <w:szCs w:val="22"/>
              </w:rPr>
              <w:t xml:space="preserve">Преработка и продажба на селскостопански продукти*, </w:t>
            </w:r>
            <w:r w:rsidRPr="00D45042">
              <w:rPr>
                <w:color w:val="FF0000"/>
                <w:sz w:val="22"/>
                <w:szCs w:val="22"/>
              </w:rPr>
              <w:t>ако размерът на помощта е определен въз основа на цената или количеството на такива продукти, закупени от първични производители или предлагани на пазара от съответните предприятия</w:t>
            </w:r>
            <w:r w:rsidRPr="00D45042">
              <w:rPr>
                <w:sz w:val="22"/>
                <w:szCs w:val="22"/>
              </w:rPr>
              <w:t xml:space="preserve">; </w:t>
            </w:r>
            <w:r w:rsidRPr="00D45042">
              <w:rPr>
                <w:color w:val="FF0000"/>
                <w:sz w:val="22"/>
                <w:szCs w:val="22"/>
              </w:rPr>
              <w:t>или когато помощта е обвързана със задължението да бъде прехвърлена частично или изцяло на първичните производители;</w:t>
            </w:r>
          </w:p>
          <w:p w:rsidR="003E73DD" w:rsidRPr="00D45042" w:rsidRDefault="003E73DD" w:rsidP="003E73DD">
            <w:pPr>
              <w:numPr>
                <w:ilvl w:val="0"/>
                <w:numId w:val="2"/>
              </w:numPr>
              <w:tabs>
                <w:tab w:val="clear" w:pos="720"/>
                <w:tab w:val="num" w:pos="328"/>
              </w:tabs>
              <w:ind w:left="328" w:hanging="283"/>
              <w:jc w:val="both"/>
              <w:rPr>
                <w:sz w:val="22"/>
                <w:szCs w:val="22"/>
              </w:rPr>
            </w:pPr>
            <w:r w:rsidRPr="00D45042">
              <w:rPr>
                <w:sz w:val="22"/>
                <w:szCs w:val="22"/>
              </w:rPr>
              <w:t>Помощи за улесняване на закриването на неконкурентоспособни въглищни мини (Решение 2010/787/ЕС на Съвета);</w:t>
            </w:r>
          </w:p>
          <w:p w:rsidR="000E10AB" w:rsidRDefault="003E73DD" w:rsidP="003E73DD">
            <w:pPr>
              <w:tabs>
                <w:tab w:val="num" w:pos="328"/>
              </w:tabs>
              <w:ind w:left="328"/>
              <w:jc w:val="both"/>
            </w:pPr>
            <w:r>
              <w:t xml:space="preserve">* </w:t>
            </w:r>
            <w:r>
              <w:rPr>
                <w:i/>
              </w:rPr>
              <w:t>Ако предприятието упражнява също дейност в сектори, които попадат в приложното поле на настоящия регламент, той се прилага за помощите, предоставени в тези сектори, при условие че съответната държава членка гарантира, че дейностите в изключените сектори не се ползват от помощта.</w:t>
            </w:r>
          </w:p>
        </w:tc>
        <w:tc>
          <w:tcPr>
            <w:tcW w:w="6379" w:type="dxa"/>
            <w:vMerge/>
            <w:shd w:val="clear" w:color="auto" w:fill="auto"/>
          </w:tcPr>
          <w:p w:rsidR="000E10AB" w:rsidRPr="0017445D" w:rsidRDefault="000E10AB" w:rsidP="00867005"/>
        </w:tc>
      </w:tr>
      <w:tr w:rsidR="000E10AB" w:rsidRPr="0017445D" w:rsidTr="00895393">
        <w:trPr>
          <w:trHeight w:val="145"/>
        </w:trPr>
        <w:tc>
          <w:tcPr>
            <w:tcW w:w="8233" w:type="dxa"/>
            <w:shd w:val="clear" w:color="auto" w:fill="D9D9D9"/>
          </w:tcPr>
          <w:p w:rsidR="000E10AB" w:rsidRPr="004114F5" w:rsidRDefault="000E10AB" w:rsidP="00BB2CA7">
            <w:pPr>
              <w:jc w:val="both"/>
              <w:rPr>
                <w:b/>
                <w:spacing w:val="-4"/>
              </w:rPr>
            </w:pPr>
            <w:r w:rsidRPr="004114F5">
              <w:rPr>
                <w:b/>
                <w:spacing w:val="-4"/>
              </w:rPr>
              <w:t>Член 1 — Изключване на дружествата, засегнати от правилото Deggendorf (параграф 4)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0E10AB" w:rsidRPr="0017445D" w:rsidRDefault="000E10AB" w:rsidP="00867005"/>
        </w:tc>
      </w:tr>
      <w:tr w:rsidR="000E10AB" w:rsidRPr="0017445D" w:rsidTr="00895393">
        <w:trPr>
          <w:trHeight w:val="145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0E10AB" w:rsidRPr="0097775C" w:rsidRDefault="000E10AB" w:rsidP="00C37832">
            <w:pPr>
              <w:jc w:val="both"/>
            </w:pPr>
            <w:r w:rsidRPr="00D45042">
              <w:rPr>
                <w:b/>
                <w:sz w:val="22"/>
                <w:szCs w:val="22"/>
                <w:u w:val="single"/>
              </w:rPr>
              <w:t>Не</w:t>
            </w:r>
            <w:r w:rsidRPr="00D45042">
              <w:rPr>
                <w:sz w:val="22"/>
                <w:szCs w:val="22"/>
              </w:rPr>
              <w:t xml:space="preserve"> се прилага по отношение на схеми за помощ, които не изключват изрично </w:t>
            </w:r>
            <w:r w:rsidRPr="00D45042">
              <w:rPr>
                <w:sz w:val="22"/>
                <w:szCs w:val="22"/>
              </w:rPr>
              <w:lastRenderedPageBreak/>
              <w:t>плащането на индивидуална помощ в полза на предприятие, което е обект на неизпълнено разпореждане за възстановяване вследствие на предходно решение на Комисията, с което помощта се обявява за неправомерна/несъвместима</w:t>
            </w:r>
            <w:r w:rsidR="00CC0B72">
              <w:rPr>
                <w:sz w:val="22"/>
                <w:szCs w:val="22"/>
              </w:rPr>
              <w:t xml:space="preserve">, </w:t>
            </w:r>
            <w:r w:rsidR="00CC0B72">
              <w:rPr>
                <w:sz w:val="22"/>
              </w:rPr>
              <w:t xml:space="preserve">и </w:t>
            </w:r>
            <w:r w:rsidR="00CC0B72" w:rsidRPr="00D5797E">
              <w:rPr>
                <w:b/>
                <w:sz w:val="22"/>
              </w:rPr>
              <w:t>не</w:t>
            </w:r>
            <w:r w:rsidR="00CC0B72">
              <w:rPr>
                <w:sz w:val="22"/>
              </w:rPr>
              <w:t xml:space="preserve"> се прилага за </w:t>
            </w:r>
            <w:r w:rsidR="00CC0B72" w:rsidRPr="00E83274">
              <w:rPr>
                <w:i/>
                <w:sz w:val="22"/>
              </w:rPr>
              <w:t>ad hoc</w:t>
            </w:r>
            <w:r w:rsidR="00CC0B72">
              <w:rPr>
                <w:sz w:val="22"/>
              </w:rPr>
              <w:t xml:space="preserve"> помощ</w:t>
            </w:r>
            <w:r w:rsidR="00C37832">
              <w:rPr>
                <w:sz w:val="22"/>
              </w:rPr>
              <w:t>и</w:t>
            </w:r>
            <w:r w:rsidR="00CC0B72">
              <w:rPr>
                <w:sz w:val="22"/>
              </w:rPr>
              <w:t xml:space="preserve"> в полза на </w:t>
            </w:r>
            <w:r w:rsidR="00C37832">
              <w:rPr>
                <w:sz w:val="22"/>
              </w:rPr>
              <w:t>такива</w:t>
            </w:r>
            <w:r w:rsidR="00CC0B72">
              <w:rPr>
                <w:sz w:val="22"/>
              </w:rPr>
              <w:t xml:space="preserve"> предприяти</w:t>
            </w:r>
            <w:r w:rsidR="00C37832">
              <w:rPr>
                <w:sz w:val="22"/>
              </w:rPr>
              <w:t>я</w:t>
            </w:r>
            <w:r>
              <w:t xml:space="preserve">. </w:t>
            </w:r>
          </w:p>
        </w:tc>
        <w:tc>
          <w:tcPr>
            <w:tcW w:w="6379" w:type="dxa"/>
            <w:vMerge/>
            <w:shd w:val="clear" w:color="auto" w:fill="auto"/>
          </w:tcPr>
          <w:p w:rsidR="000E10AB" w:rsidRPr="0017445D" w:rsidRDefault="000E10AB" w:rsidP="00867005"/>
        </w:tc>
      </w:tr>
      <w:tr w:rsidR="000E10AB" w:rsidRPr="0017445D" w:rsidTr="00895393">
        <w:trPr>
          <w:trHeight w:val="145"/>
        </w:trPr>
        <w:tc>
          <w:tcPr>
            <w:tcW w:w="8233" w:type="dxa"/>
            <w:shd w:val="clear" w:color="auto" w:fill="D9D9D9"/>
          </w:tcPr>
          <w:p w:rsidR="000E10AB" w:rsidRPr="00BB2CA7" w:rsidRDefault="000E10AB" w:rsidP="00867005">
            <w:pPr>
              <w:rPr>
                <w:b/>
              </w:rPr>
            </w:pPr>
            <w:r>
              <w:rPr>
                <w:b/>
              </w:rPr>
              <w:lastRenderedPageBreak/>
              <w:t>Член 1 — Изключване на дружествата в затруднено положение (параграф 4)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0E10AB" w:rsidRPr="0017445D" w:rsidRDefault="000E10AB" w:rsidP="00867005"/>
        </w:tc>
      </w:tr>
      <w:tr w:rsidR="000E10AB" w:rsidRPr="0017445D" w:rsidTr="00ED0D54">
        <w:trPr>
          <w:trHeight w:val="494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0E10AB" w:rsidRPr="0077635A" w:rsidRDefault="000E10AB" w:rsidP="00BE2ABA">
            <w:pPr>
              <w:spacing w:after="40"/>
              <w:jc w:val="both"/>
            </w:pPr>
            <w:r w:rsidRPr="00D45042">
              <w:rPr>
                <w:b/>
                <w:sz w:val="22"/>
                <w:szCs w:val="22"/>
                <w:u w:val="single"/>
              </w:rPr>
              <w:t>Не</w:t>
            </w:r>
            <w:r w:rsidRPr="00D45042">
              <w:rPr>
                <w:sz w:val="22"/>
                <w:szCs w:val="22"/>
              </w:rPr>
              <w:t xml:space="preserve"> се прилага за помощи за предприятия в затруднено положение</w:t>
            </w:r>
            <w:r>
              <w:t xml:space="preserve">. </w:t>
            </w:r>
          </w:p>
        </w:tc>
        <w:tc>
          <w:tcPr>
            <w:tcW w:w="6379" w:type="dxa"/>
            <w:vMerge/>
            <w:shd w:val="clear" w:color="auto" w:fill="auto"/>
          </w:tcPr>
          <w:p w:rsidR="000E10AB" w:rsidRPr="0017445D" w:rsidRDefault="000E10AB" w:rsidP="00867005"/>
        </w:tc>
      </w:tr>
      <w:tr w:rsidR="000E10AB" w:rsidRPr="0017445D" w:rsidTr="00895393">
        <w:trPr>
          <w:trHeight w:val="145"/>
        </w:trPr>
        <w:tc>
          <w:tcPr>
            <w:tcW w:w="8233" w:type="dxa"/>
            <w:shd w:val="clear" w:color="auto" w:fill="D9D9D9"/>
          </w:tcPr>
          <w:p w:rsidR="000E10AB" w:rsidRPr="00BB2CA7" w:rsidRDefault="000E10AB" w:rsidP="00A67EFB">
            <w:pPr>
              <w:jc w:val="both"/>
              <w:rPr>
                <w:b/>
              </w:rPr>
            </w:pPr>
            <w:r>
              <w:rPr>
                <w:b/>
              </w:rPr>
              <w:t>Член 1 — Изключване на мерките за помощ, които нарушават законодателството на Съюза (параграф 5)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0E10AB" w:rsidRPr="0017445D" w:rsidRDefault="000E10AB" w:rsidP="00867005"/>
        </w:tc>
      </w:tr>
      <w:tr w:rsidR="000E10AB" w:rsidRPr="0017445D" w:rsidTr="00895393">
        <w:trPr>
          <w:trHeight w:val="145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0E10AB" w:rsidRPr="00700170" w:rsidRDefault="00F9211F" w:rsidP="000C51C2">
            <w:pPr>
              <w:autoSpaceDE w:val="0"/>
              <w:autoSpaceDN w:val="0"/>
              <w:adjustRightInd w:val="0"/>
              <w:spacing w:after="40"/>
              <w:rPr>
                <w:rFonts w:ascii="EUAlbertina-Regu" w:hAnsi="EUAlbertina-Regu" w:cs="EUAlbertina-Regu"/>
                <w:sz w:val="22"/>
                <w:szCs w:val="22"/>
              </w:rPr>
            </w:pPr>
            <w:r w:rsidRPr="00700170">
              <w:rPr>
                <w:b/>
                <w:sz w:val="22"/>
                <w:szCs w:val="22"/>
              </w:rPr>
              <w:t>Не</w:t>
            </w:r>
            <w:r w:rsidRPr="00700170">
              <w:rPr>
                <w:sz w:val="22"/>
                <w:szCs w:val="22"/>
              </w:rPr>
              <w:t xml:space="preserve"> се прилага за мерки за държавна помощ, които водят до неотделимо нарушение на законодателството на Съюза, по-специално:</w:t>
            </w:r>
          </w:p>
          <w:p w:rsidR="000E10AB" w:rsidRPr="00700170" w:rsidRDefault="000E10AB" w:rsidP="000C51C2">
            <w:pPr>
              <w:autoSpaceDE w:val="0"/>
              <w:autoSpaceDN w:val="0"/>
              <w:adjustRightInd w:val="0"/>
              <w:spacing w:after="40"/>
              <w:jc w:val="both"/>
              <w:rPr>
                <w:sz w:val="22"/>
                <w:szCs w:val="22"/>
              </w:rPr>
            </w:pPr>
            <w:r w:rsidRPr="00700170">
              <w:rPr>
                <w:sz w:val="22"/>
                <w:szCs w:val="22"/>
              </w:rPr>
              <w:t>а) задължение седалището или основното място на установяване на бенефициера да се намира в съответната държава членка. Разрешава се условието към момента на изплащането на помощта бенефициерът да е създал седалище или клон в държавата членка, предоставяща помощта;</w:t>
            </w:r>
          </w:p>
          <w:p w:rsidR="000E10AB" w:rsidRPr="00700170" w:rsidRDefault="000E10AB" w:rsidP="000C51C2">
            <w:pPr>
              <w:autoSpaceDE w:val="0"/>
              <w:autoSpaceDN w:val="0"/>
              <w:adjustRightInd w:val="0"/>
              <w:spacing w:after="40"/>
              <w:jc w:val="both"/>
              <w:rPr>
                <w:sz w:val="22"/>
                <w:szCs w:val="22"/>
              </w:rPr>
            </w:pPr>
            <w:r w:rsidRPr="00700170">
              <w:rPr>
                <w:sz w:val="22"/>
                <w:szCs w:val="22"/>
              </w:rPr>
              <w:t>б) задължение бенефициерът да използва стоки и услуги, произведени на територията на държавата членка;</w:t>
            </w:r>
          </w:p>
          <w:p w:rsidR="000E10AB" w:rsidRDefault="000E10AB" w:rsidP="002B4CA9">
            <w:pPr>
              <w:autoSpaceDE w:val="0"/>
              <w:autoSpaceDN w:val="0"/>
              <w:adjustRightInd w:val="0"/>
              <w:spacing w:after="40"/>
              <w:jc w:val="both"/>
            </w:pPr>
            <w:r w:rsidRPr="00700170">
              <w:rPr>
                <w:sz w:val="22"/>
                <w:szCs w:val="22"/>
              </w:rPr>
              <w:t>в) ограничаване на възможността бенефициерът да се възползва от резултатите от научноизследователска и развойна дейност и иновации в други държави членки.</w:t>
            </w:r>
          </w:p>
        </w:tc>
        <w:tc>
          <w:tcPr>
            <w:tcW w:w="6379" w:type="dxa"/>
            <w:vMerge/>
            <w:shd w:val="clear" w:color="auto" w:fill="auto"/>
          </w:tcPr>
          <w:p w:rsidR="000E10AB" w:rsidRPr="0017445D" w:rsidRDefault="000E10AB" w:rsidP="00867005"/>
        </w:tc>
      </w:tr>
      <w:tr w:rsidR="000E10AB" w:rsidRPr="0017445D" w:rsidTr="00895393">
        <w:trPr>
          <w:trHeight w:val="271"/>
        </w:trPr>
        <w:tc>
          <w:tcPr>
            <w:tcW w:w="8233" w:type="dxa"/>
            <w:shd w:val="clear" w:color="auto" w:fill="D9D9D9"/>
          </w:tcPr>
          <w:p w:rsidR="000E10AB" w:rsidRPr="00BB2CA7" w:rsidRDefault="000E10AB" w:rsidP="000E10AB">
            <w:pPr>
              <w:jc w:val="both"/>
              <w:rPr>
                <w:b/>
              </w:rPr>
            </w:pPr>
            <w:r>
              <w:rPr>
                <w:b/>
              </w:rPr>
              <w:t>Член 4 — Индивидуални прагове за уведомяване</w:t>
            </w:r>
          </w:p>
        </w:tc>
        <w:tc>
          <w:tcPr>
            <w:tcW w:w="6379" w:type="dxa"/>
            <w:shd w:val="clear" w:color="auto" w:fill="auto"/>
          </w:tcPr>
          <w:p w:rsidR="000E10AB" w:rsidRPr="0017445D" w:rsidRDefault="000E10AB" w:rsidP="00CA2F50"/>
        </w:tc>
      </w:tr>
      <w:tr w:rsidR="000E10AB" w:rsidRPr="0017445D" w:rsidTr="00895393">
        <w:trPr>
          <w:trHeight w:val="271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0E10AB" w:rsidRPr="00700170" w:rsidRDefault="000E10AB" w:rsidP="00CA2F50">
            <w:pPr>
              <w:rPr>
                <w:sz w:val="22"/>
                <w:szCs w:val="22"/>
              </w:rPr>
            </w:pPr>
            <w:r w:rsidRPr="00700170">
              <w:rPr>
                <w:b/>
                <w:sz w:val="22"/>
                <w:szCs w:val="22"/>
              </w:rPr>
              <w:t>Не</w:t>
            </w:r>
            <w:r w:rsidRPr="00700170">
              <w:rPr>
                <w:sz w:val="22"/>
                <w:szCs w:val="22"/>
              </w:rPr>
              <w:t xml:space="preserve"> се прилага за помощи, надхвърлящи:</w:t>
            </w:r>
          </w:p>
          <w:p w:rsidR="00D57E57" w:rsidRPr="00700170" w:rsidRDefault="00F9211F" w:rsidP="00D57E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0170">
              <w:rPr>
                <w:sz w:val="22"/>
                <w:szCs w:val="22"/>
              </w:rPr>
              <w:t>за инвестиционни помощи в полза на местни инфраструктури: 10 милиона евро или общите разходи, надхвърлящи 20 милиона евро за същата инфраструктура;</w:t>
            </w:r>
          </w:p>
          <w:p w:rsidR="000E10AB" w:rsidRPr="007D461F" w:rsidRDefault="00F9211F" w:rsidP="00F9211F">
            <w:pPr>
              <w:autoSpaceDE w:val="0"/>
              <w:autoSpaceDN w:val="0"/>
              <w:adjustRightInd w:val="0"/>
              <w:jc w:val="both"/>
            </w:pPr>
            <w:r w:rsidRPr="00700170">
              <w:rPr>
                <w:sz w:val="22"/>
                <w:szCs w:val="22"/>
              </w:rPr>
              <w:t xml:space="preserve">Праговете </w:t>
            </w:r>
            <w:r w:rsidRPr="00700170">
              <w:rPr>
                <w:b/>
                <w:sz w:val="22"/>
                <w:szCs w:val="22"/>
              </w:rPr>
              <w:t>не</w:t>
            </w:r>
            <w:r w:rsidRPr="00700170">
              <w:rPr>
                <w:sz w:val="22"/>
                <w:szCs w:val="22"/>
              </w:rPr>
              <w:t xml:space="preserve"> могат да бъдат заобикаляни чрез изкуствено разделяне на схемите или проектите за помощ</w:t>
            </w:r>
            <w:r>
              <w:t>.</w:t>
            </w:r>
          </w:p>
        </w:tc>
        <w:tc>
          <w:tcPr>
            <w:tcW w:w="6379" w:type="dxa"/>
            <w:shd w:val="clear" w:color="auto" w:fill="auto"/>
          </w:tcPr>
          <w:p w:rsidR="000E10AB" w:rsidRPr="0017445D" w:rsidRDefault="000E10AB" w:rsidP="00CA2F50"/>
        </w:tc>
      </w:tr>
      <w:tr w:rsidR="000E10AB" w:rsidRPr="0017445D" w:rsidTr="00895393">
        <w:trPr>
          <w:trHeight w:val="344"/>
        </w:trPr>
        <w:tc>
          <w:tcPr>
            <w:tcW w:w="8233" w:type="dxa"/>
            <w:shd w:val="clear" w:color="auto" w:fill="D9D9D9"/>
          </w:tcPr>
          <w:p w:rsidR="000E10AB" w:rsidRDefault="000E10AB" w:rsidP="000E10AB">
            <w:pPr>
              <w:jc w:val="both"/>
              <w:rPr>
                <w:b/>
              </w:rPr>
            </w:pPr>
            <w:r>
              <w:rPr>
                <w:b/>
              </w:rPr>
              <w:t xml:space="preserve">Член 5 — Прозрачност на помощта </w:t>
            </w:r>
          </w:p>
        </w:tc>
        <w:tc>
          <w:tcPr>
            <w:tcW w:w="6379" w:type="dxa"/>
            <w:shd w:val="clear" w:color="auto" w:fill="auto"/>
          </w:tcPr>
          <w:p w:rsidR="000E10AB" w:rsidRPr="0017445D" w:rsidRDefault="000E10AB" w:rsidP="00867005"/>
        </w:tc>
      </w:tr>
      <w:tr w:rsidR="000E10AB" w:rsidRPr="0017445D" w:rsidTr="00895393">
        <w:trPr>
          <w:trHeight w:val="344"/>
        </w:trPr>
        <w:tc>
          <w:tcPr>
            <w:tcW w:w="8233" w:type="dxa"/>
            <w:shd w:val="clear" w:color="auto" w:fill="auto"/>
          </w:tcPr>
          <w:p w:rsidR="000E10AB" w:rsidRPr="00C52214" w:rsidRDefault="000E10AB" w:rsidP="00CA2F50">
            <w:pPr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Прилага се само за прозрачни помощи, като за прозрачни се считат:</w:t>
            </w:r>
          </w:p>
          <w:p w:rsidR="000E10AB" w:rsidRPr="00C52214" w:rsidRDefault="000E10AB" w:rsidP="00D177B0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ind w:left="328" w:hanging="283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безвъзмездните средства и лихвените субсидии;</w:t>
            </w:r>
          </w:p>
          <w:p w:rsidR="000E10AB" w:rsidRPr="00402659" w:rsidRDefault="000E10AB" w:rsidP="00D177B0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jc w:val="both"/>
              <w:rPr>
                <w:spacing w:val="-4"/>
                <w:sz w:val="22"/>
                <w:szCs w:val="22"/>
              </w:rPr>
            </w:pPr>
            <w:r w:rsidRPr="00402659">
              <w:rPr>
                <w:spacing w:val="-4"/>
                <w:sz w:val="22"/>
                <w:szCs w:val="22"/>
              </w:rPr>
              <w:lastRenderedPageBreak/>
              <w:t>заемите (когато брутният еквивалент на безвъзмездна помощ е изчислен въз основа на референтния процент към момента на предоставяне на безвъзмездните средства);</w:t>
            </w:r>
          </w:p>
          <w:p w:rsidR="000E10AB" w:rsidRPr="00C52214" w:rsidRDefault="000E10AB" w:rsidP="00D177B0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 xml:space="preserve">гаранциите </w:t>
            </w:r>
          </w:p>
          <w:p w:rsidR="000E10AB" w:rsidRPr="00C52214" w:rsidRDefault="000E10AB" w:rsidP="00D177B0">
            <w:pPr>
              <w:tabs>
                <w:tab w:val="num" w:pos="470"/>
              </w:tabs>
              <w:ind w:left="328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 xml:space="preserve">(когато брутният еквивалент на безвъзмездна помощ е изчислен въз основа на минималните премии, посочени в известие на Комисията, </w:t>
            </w:r>
          </w:p>
          <w:p w:rsidR="000E10AB" w:rsidRPr="00C52214" w:rsidRDefault="000E10AB" w:rsidP="00D177B0">
            <w:pPr>
              <w:tabs>
                <w:tab w:val="num" w:pos="328"/>
              </w:tabs>
              <w:ind w:left="328" w:hanging="283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 xml:space="preserve">или </w:t>
            </w:r>
          </w:p>
          <w:p w:rsidR="000E10AB" w:rsidRPr="00C52214" w:rsidRDefault="000E10AB" w:rsidP="00D177B0">
            <w:pPr>
              <w:tabs>
                <w:tab w:val="num" w:pos="328"/>
              </w:tabs>
              <w:ind w:left="328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когато брутният еквивалент на безвъзмездна помощ е одобрен, преди мярката да бъде въведена в действие, въз основа на Известието на Комисията относно гаранциите и в одобрената методика за изчисляването му изрично се обръща внимание на вида на гаранцията и на вида на сделката, за която гаранцията е издадена, в контекста на прилагането на ОРГО);</w:t>
            </w:r>
          </w:p>
          <w:p w:rsidR="000E10AB" w:rsidRPr="00C52214" w:rsidRDefault="000E10AB" w:rsidP="00D177B0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данъчните предимства (когато по мярката е предвиден таван, с който се гарантира, че прагът няма да бъде надхвърлен);</w:t>
            </w:r>
          </w:p>
          <w:p w:rsidR="000E10AB" w:rsidRDefault="000E10AB" w:rsidP="003B325C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autoSpaceDE w:val="0"/>
              <w:autoSpaceDN w:val="0"/>
              <w:adjustRightInd w:val="0"/>
              <w:ind w:left="328" w:hanging="283"/>
              <w:jc w:val="both"/>
              <w:rPr>
                <w:b/>
              </w:rPr>
            </w:pPr>
            <w:r w:rsidRPr="00C52214">
              <w:rPr>
                <w:sz w:val="22"/>
                <w:szCs w:val="22"/>
              </w:rPr>
              <w:t>възстановяемите аванси (ако общият номинален размер на възстановяемия аванс не надхвърля приложимите прагове съгласно настоящия регламент или ако, след като Комисията е била уведомена за методиката за изчисляване на брутния еквивалент на безвъзмездна помощ на възстановимия аванс, тя е одобрила тази методика преди изпълнението на мярката).</w:t>
            </w:r>
          </w:p>
        </w:tc>
        <w:tc>
          <w:tcPr>
            <w:tcW w:w="6379" w:type="dxa"/>
            <w:shd w:val="clear" w:color="auto" w:fill="auto"/>
          </w:tcPr>
          <w:p w:rsidR="000E10AB" w:rsidRPr="0017445D" w:rsidRDefault="000E10AB" w:rsidP="00867005"/>
        </w:tc>
      </w:tr>
      <w:tr w:rsidR="000E10AB" w:rsidRPr="0017445D" w:rsidTr="00F04C35">
        <w:trPr>
          <w:trHeight w:val="271"/>
        </w:trPr>
        <w:tc>
          <w:tcPr>
            <w:tcW w:w="8233" w:type="dxa"/>
            <w:shd w:val="clear" w:color="auto" w:fill="D9D9D9"/>
          </w:tcPr>
          <w:p w:rsidR="000E10AB" w:rsidRPr="00BB2CA7" w:rsidRDefault="000E10AB" w:rsidP="000E10A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Член 6 — Стимулиращ ефект </w:t>
            </w:r>
          </w:p>
        </w:tc>
        <w:tc>
          <w:tcPr>
            <w:tcW w:w="6379" w:type="dxa"/>
            <w:shd w:val="clear" w:color="auto" w:fill="D9D9D9"/>
          </w:tcPr>
          <w:p w:rsidR="000E10AB" w:rsidRPr="0017445D" w:rsidRDefault="000E10AB" w:rsidP="00CA2F50"/>
        </w:tc>
      </w:tr>
      <w:tr w:rsidR="000E10AB" w:rsidRPr="0017445D" w:rsidTr="00895393">
        <w:trPr>
          <w:trHeight w:val="271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0E10AB" w:rsidRPr="00C52214" w:rsidRDefault="000E10AB" w:rsidP="00CA2F50">
            <w:pPr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Помощта може да бъде освободена от задължението за уведомяване само ако има стимулиращ ефект:</w:t>
            </w:r>
          </w:p>
          <w:p w:rsidR="000E10AB" w:rsidRPr="00C52214" w:rsidRDefault="000E10AB" w:rsidP="00B46C5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2214">
              <w:rPr>
                <w:b/>
                <w:sz w:val="22"/>
                <w:szCs w:val="22"/>
              </w:rPr>
              <w:t>преди работата</w:t>
            </w:r>
            <w:r w:rsidRPr="00C52214">
              <w:rPr>
                <w:sz w:val="22"/>
                <w:szCs w:val="22"/>
              </w:rPr>
              <w:t xml:space="preserve"> по проекта или дейността да е започнала, </w:t>
            </w:r>
            <w:r w:rsidRPr="00C52214">
              <w:rPr>
                <w:b/>
                <w:sz w:val="22"/>
                <w:szCs w:val="22"/>
              </w:rPr>
              <w:t>бенефициерът е подал до държавата членка заявление за помощ</w:t>
            </w:r>
            <w:r w:rsidRPr="00C52214">
              <w:rPr>
                <w:sz w:val="22"/>
                <w:szCs w:val="22"/>
              </w:rPr>
              <w:t>, което съдържа поне следната информация:</w:t>
            </w:r>
          </w:p>
          <w:p w:rsidR="000E10AB" w:rsidRPr="00C52214" w:rsidRDefault="000E10AB" w:rsidP="00B46C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наименование и големина на предприятието;</w:t>
            </w:r>
          </w:p>
          <w:p w:rsidR="000E10AB" w:rsidRPr="00C52214" w:rsidRDefault="000E10AB" w:rsidP="00B46C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описание на проекта, включително неговата начална и крайна дата;</w:t>
            </w:r>
          </w:p>
          <w:p w:rsidR="000E10AB" w:rsidRPr="00C52214" w:rsidRDefault="000E10AB" w:rsidP="00B46C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местонахождение на проекта;</w:t>
            </w:r>
          </w:p>
          <w:p w:rsidR="000E10AB" w:rsidRPr="00C52214" w:rsidRDefault="000E10AB" w:rsidP="00B46C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списък с разходите по проекта;</w:t>
            </w:r>
          </w:p>
          <w:p w:rsidR="000E10AB" w:rsidRPr="00C52214" w:rsidRDefault="000E10AB" w:rsidP="00B46C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вид на помощта (безвъзмездни средства, заем, гаранция, възстановяем аванс, вливане на капитал и т.н.) и размер на публичното финансиране, необходимо за проекта;</w:t>
            </w:r>
          </w:p>
          <w:p w:rsidR="000E10AB" w:rsidRPr="00C52214" w:rsidRDefault="003B2065" w:rsidP="00B46C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lastRenderedPageBreak/>
              <w:t xml:space="preserve">помощи </w:t>
            </w:r>
            <w:r w:rsidRPr="00D944A4">
              <w:rPr>
                <w:i/>
                <w:sz w:val="22"/>
                <w:szCs w:val="22"/>
              </w:rPr>
              <w:t>ad hoc</w:t>
            </w:r>
            <w:r w:rsidRPr="00C52214">
              <w:rPr>
                <w:sz w:val="22"/>
                <w:szCs w:val="22"/>
              </w:rPr>
              <w:t xml:space="preserve"> за големи предприятия; освен горното, преди да предостави помощта, държавата членка се е уверила, че с представената от бенефициера документация са доказани едно или повече от следните положения:</w:t>
            </w:r>
          </w:p>
          <w:p w:rsidR="00D57E57" w:rsidRPr="00C52214" w:rsidRDefault="00D57E57" w:rsidP="00D57E57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- съществено нарастване на обхвата на проекта или дейността в резултат на помощта или</w:t>
            </w:r>
          </w:p>
          <w:p w:rsidR="00D57E57" w:rsidRPr="00C52214" w:rsidRDefault="00D57E57" w:rsidP="00D57E57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- съществено увеличение на общата сума, изразходвана от бенефициера за проекта или дейността, в резултат на помощта, или</w:t>
            </w:r>
          </w:p>
          <w:p w:rsidR="00D57E57" w:rsidRPr="00C52214" w:rsidRDefault="00D57E57" w:rsidP="00D57E57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- съществено нарастване на скоростта на изпълнение на съответния проект или съответната дейност.</w:t>
            </w:r>
          </w:p>
          <w:p w:rsidR="000E10AB" w:rsidRPr="00C52214" w:rsidRDefault="000E10AB" w:rsidP="00CA2F50">
            <w:pPr>
              <w:ind w:left="396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sym w:font="Wingdings" w:char="F0E0"/>
            </w:r>
            <w:r w:rsidRPr="00C52214">
              <w:rPr>
                <w:b/>
                <w:sz w:val="22"/>
                <w:szCs w:val="22"/>
              </w:rPr>
              <w:t>Изключения</w:t>
            </w:r>
          </w:p>
          <w:p w:rsidR="000E10AB" w:rsidRPr="00C52214" w:rsidRDefault="000E10AB" w:rsidP="00B46C5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данъчни предимства, ако:</w:t>
            </w:r>
          </w:p>
          <w:p w:rsidR="000E10AB" w:rsidRPr="00C52214" w:rsidRDefault="000E10AB" w:rsidP="00B46C5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мярката предвижда право на помощ в съответствие с обективни критерии и без допълнителна преценка по собствено усмотрение от страна на държавата членка, и</w:t>
            </w:r>
          </w:p>
          <w:p w:rsidR="000E10AB" w:rsidRPr="00C52214" w:rsidRDefault="000E10AB" w:rsidP="00E4231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мярката е приета и е била в сила преди започването на работата по подпомагания проект или дейност, освен в случай на последващи фискални схеми, когато дейността вече е била включена в предходните схеми под формата на данъчно предимство.</w:t>
            </w:r>
          </w:p>
        </w:tc>
        <w:tc>
          <w:tcPr>
            <w:tcW w:w="6379" w:type="dxa"/>
            <w:shd w:val="clear" w:color="auto" w:fill="auto"/>
          </w:tcPr>
          <w:p w:rsidR="000E10AB" w:rsidRPr="0017445D" w:rsidRDefault="000E10AB" w:rsidP="00CA2F50"/>
        </w:tc>
      </w:tr>
      <w:tr w:rsidR="000E10AB" w:rsidRPr="0017445D" w:rsidTr="00895393">
        <w:trPr>
          <w:trHeight w:val="344"/>
        </w:trPr>
        <w:tc>
          <w:tcPr>
            <w:tcW w:w="8233" w:type="dxa"/>
            <w:shd w:val="clear" w:color="auto" w:fill="D9D9D9"/>
          </w:tcPr>
          <w:p w:rsidR="000E10AB" w:rsidRPr="00C52214" w:rsidRDefault="000E10AB" w:rsidP="003B2065">
            <w:pPr>
              <w:jc w:val="both"/>
              <w:rPr>
                <w:b/>
                <w:sz w:val="22"/>
                <w:szCs w:val="22"/>
              </w:rPr>
            </w:pPr>
            <w:r w:rsidRPr="00C52214">
              <w:rPr>
                <w:b/>
                <w:sz w:val="22"/>
                <w:szCs w:val="22"/>
              </w:rPr>
              <w:lastRenderedPageBreak/>
              <w:t>Член 7 — Допустими разходи</w:t>
            </w:r>
          </w:p>
        </w:tc>
        <w:tc>
          <w:tcPr>
            <w:tcW w:w="6379" w:type="dxa"/>
            <w:shd w:val="clear" w:color="auto" w:fill="auto"/>
          </w:tcPr>
          <w:p w:rsidR="000E10AB" w:rsidRPr="0017445D" w:rsidRDefault="000E10AB" w:rsidP="00867005"/>
        </w:tc>
      </w:tr>
      <w:tr w:rsidR="000E10AB" w:rsidRPr="0017445D" w:rsidTr="00B10D08">
        <w:trPr>
          <w:trHeight w:val="416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B10D08" w:rsidRPr="00C52214" w:rsidRDefault="003B2065" w:rsidP="00B10D08">
            <w:pPr>
              <w:spacing w:after="4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За изчисляването на интензитета на помощта:</w:t>
            </w:r>
          </w:p>
          <w:p w:rsidR="00B10D08" w:rsidRPr="00C52214" w:rsidRDefault="00744DF1" w:rsidP="00B10D08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Данните се събират преди приспадането на данъци и други такси.</w:t>
            </w:r>
          </w:p>
          <w:p w:rsidR="00B10D08" w:rsidRPr="00C52214" w:rsidRDefault="00B10D08" w:rsidP="00B10D08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При помощите, които се предоставят не под формата на безвъзмездни средства, а под друга форма, размерът на помощта е нейният брутен еквивалент на безвъзмездна помощ.</w:t>
            </w:r>
          </w:p>
          <w:p w:rsidR="00B10D08" w:rsidRPr="00C52214" w:rsidRDefault="00B10D08" w:rsidP="00B10D08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 xml:space="preserve">Помощите, които се предоставят на няколко части, се сконтират към размера си към момента на предоставяне (същото важи и за допустимите разходи и лихвените проценти към момента на предоставяне). </w:t>
            </w:r>
          </w:p>
          <w:p w:rsidR="00B10D08" w:rsidRPr="00C52214" w:rsidRDefault="00B10D08" w:rsidP="00B10D08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 xml:space="preserve">Отделните траншове помощ под формата на данъчни предимства се сконтират въз основа на сконтовите проценти, приложими към момента на влизане в сила на данъчното предимство. </w:t>
            </w:r>
          </w:p>
          <w:p w:rsidR="00B10D08" w:rsidRPr="00C52214" w:rsidRDefault="00B10D08" w:rsidP="00B10D0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 xml:space="preserve">Когато помощите се предоставят под формата на възстановяеми аванси, които, </w:t>
            </w:r>
            <w:r w:rsidRPr="00C52214">
              <w:rPr>
                <w:sz w:val="22"/>
                <w:szCs w:val="22"/>
              </w:rPr>
              <w:lastRenderedPageBreak/>
              <w:t>при липса на одобрена методика за изчисляване на техния брутен еквивалент на безвъзмездна помощ, са изразени като процент от допустимите разходи, и мярката предвижда, че при успешен резултат от проекта, за който се съди въз основа на реалистична и предпазлива хипотеза, авансовите плащания се възстановяват с лихвен процент, поне равен на сконтовия процент, приложим към момента на предоставяне на помощта, максималният интензитет на помощта може да бъде увеличен с 10 процентни пункта.</w:t>
            </w:r>
          </w:p>
          <w:p w:rsidR="00B10D08" w:rsidRPr="00C52214" w:rsidRDefault="00B10D08" w:rsidP="00B10D08">
            <w:pPr>
              <w:autoSpaceDE w:val="0"/>
              <w:autoSpaceDN w:val="0"/>
              <w:adjustRightInd w:val="0"/>
              <w:spacing w:after="4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Допустими разходи и документация</w:t>
            </w:r>
          </w:p>
          <w:p w:rsidR="000E10AB" w:rsidRPr="00C52214" w:rsidRDefault="00B10D08" w:rsidP="00B10D0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Допустими разходи, подкрепени с ясни, конкретни и актуални документи.</w:t>
            </w:r>
          </w:p>
        </w:tc>
        <w:tc>
          <w:tcPr>
            <w:tcW w:w="6379" w:type="dxa"/>
            <w:shd w:val="clear" w:color="auto" w:fill="auto"/>
          </w:tcPr>
          <w:p w:rsidR="000E10AB" w:rsidRPr="0017445D" w:rsidRDefault="000E10AB" w:rsidP="00867005"/>
        </w:tc>
      </w:tr>
      <w:tr w:rsidR="000E10AB" w:rsidRPr="0017445D" w:rsidTr="00174C18">
        <w:trPr>
          <w:trHeight w:val="271"/>
        </w:trPr>
        <w:tc>
          <w:tcPr>
            <w:tcW w:w="8233" w:type="dxa"/>
            <w:shd w:val="clear" w:color="auto" w:fill="D9D9D9"/>
          </w:tcPr>
          <w:p w:rsidR="000E10AB" w:rsidRPr="00C52214" w:rsidRDefault="000E10AB" w:rsidP="000E10AB">
            <w:pPr>
              <w:jc w:val="both"/>
              <w:rPr>
                <w:b/>
                <w:sz w:val="22"/>
                <w:szCs w:val="22"/>
              </w:rPr>
            </w:pPr>
            <w:r w:rsidRPr="00C52214">
              <w:rPr>
                <w:b/>
                <w:sz w:val="22"/>
                <w:szCs w:val="22"/>
              </w:rPr>
              <w:lastRenderedPageBreak/>
              <w:t>Член 8 — Натрупване</w:t>
            </w:r>
          </w:p>
        </w:tc>
        <w:tc>
          <w:tcPr>
            <w:tcW w:w="6379" w:type="dxa"/>
            <w:shd w:val="clear" w:color="auto" w:fill="D9D9D9"/>
          </w:tcPr>
          <w:p w:rsidR="000E10AB" w:rsidRPr="0017445D" w:rsidRDefault="000E10AB" w:rsidP="00867005"/>
        </w:tc>
      </w:tr>
      <w:tr w:rsidR="000E10AB" w:rsidRPr="0017445D" w:rsidTr="00895393">
        <w:trPr>
          <w:trHeight w:val="271"/>
        </w:trPr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</w:tcPr>
          <w:p w:rsidR="00E518C8" w:rsidRPr="00C52214" w:rsidRDefault="00E518C8" w:rsidP="00E518C8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 xml:space="preserve">За праговете и максималните интензитети на помощта се взема предвид </w:t>
            </w:r>
            <w:r w:rsidRPr="00C52214">
              <w:rPr>
                <w:b/>
                <w:sz w:val="22"/>
                <w:szCs w:val="22"/>
              </w:rPr>
              <w:t>общият размер</w:t>
            </w:r>
            <w:r w:rsidRPr="00C52214">
              <w:rPr>
                <w:sz w:val="22"/>
                <w:szCs w:val="22"/>
              </w:rPr>
              <w:t xml:space="preserve"> на помощта (параграф 1).</w:t>
            </w:r>
          </w:p>
          <w:p w:rsidR="00E518C8" w:rsidRPr="00C52214" w:rsidRDefault="00E518C8" w:rsidP="00E518C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 xml:space="preserve">Когато </w:t>
            </w:r>
            <w:r w:rsidRPr="00C52214">
              <w:rPr>
                <w:b/>
                <w:sz w:val="22"/>
                <w:szCs w:val="22"/>
              </w:rPr>
              <w:t>финансиране от Съюза</w:t>
            </w:r>
            <w:r w:rsidRPr="00C52214">
              <w:rPr>
                <w:sz w:val="22"/>
                <w:szCs w:val="22"/>
              </w:rPr>
              <w:t xml:space="preserve"> (което не е под контрола на държавата членка) е съчетано с държавна помощ, само тази държавна помощ се взема предвид за установяването на това дали са спазени праговете за уведомяване и максималните интензитети на помощта или максималните размери на помощта, при условие че общият размер на публичното финансиране, предоставено във връзка с едни и същи допустими разходи, не превишава най-благоприятния процент на финансиране, установен в приложимите правила на законодателството на Съюза (параграф 2).</w:t>
            </w:r>
          </w:p>
          <w:p w:rsidR="00E518C8" w:rsidRPr="00C52214" w:rsidRDefault="00E518C8" w:rsidP="00E518C8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 xml:space="preserve">Освободените от задължението за уведомяване помощи могат да се натрупват с всякаква друга държавна помощ, ако </w:t>
            </w:r>
            <w:r w:rsidRPr="00C52214">
              <w:rPr>
                <w:b/>
                <w:sz w:val="22"/>
                <w:szCs w:val="22"/>
              </w:rPr>
              <w:t>установимите разходи са различни</w:t>
            </w:r>
            <w:r w:rsidRPr="00C52214">
              <w:rPr>
                <w:sz w:val="22"/>
                <w:szCs w:val="22"/>
              </w:rPr>
              <w:t xml:space="preserve"> (параграф 3, буква а).</w:t>
            </w:r>
          </w:p>
          <w:p w:rsidR="00E518C8" w:rsidRPr="00C52214" w:rsidRDefault="00E518C8" w:rsidP="00E518C8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 xml:space="preserve">Не се допуска натрупване на освободени от задължението за уведомяване помощи с никаква друга помощ във връзка със </w:t>
            </w:r>
            <w:r w:rsidRPr="00C52214">
              <w:rPr>
                <w:b/>
                <w:sz w:val="22"/>
                <w:szCs w:val="22"/>
              </w:rPr>
              <w:t>същите допустими разходи</w:t>
            </w:r>
            <w:r w:rsidRPr="00C52214">
              <w:rPr>
                <w:sz w:val="22"/>
                <w:szCs w:val="22"/>
              </w:rPr>
              <w:t>, които се припокриват частично или напълно, ако това натрупване води до надхвърляне на най-високия интензитет или най-високия размер на помощта, приложими за тази помощ (параграф 3, буква б).</w:t>
            </w:r>
          </w:p>
          <w:p w:rsidR="000E10AB" w:rsidRPr="00C52214" w:rsidRDefault="00E518C8" w:rsidP="00E518C8">
            <w:pPr>
              <w:numPr>
                <w:ilvl w:val="0"/>
                <w:numId w:val="47"/>
              </w:numPr>
              <w:spacing w:before="100" w:beforeAutospacing="1" w:after="150" w:line="260" w:lineRule="atLeast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 xml:space="preserve">Държавните помощи, освободени от задължението за уведомяване по силата на ОРГО, не могат да се натрупват с помощ </w:t>
            </w:r>
            <w:r w:rsidRPr="00C52214">
              <w:rPr>
                <w:b/>
                <w:sz w:val="22"/>
                <w:szCs w:val="22"/>
              </w:rPr>
              <w:t>de minimis</w:t>
            </w:r>
            <w:r w:rsidRPr="00C52214">
              <w:rPr>
                <w:sz w:val="22"/>
                <w:szCs w:val="22"/>
              </w:rPr>
              <w:t xml:space="preserve"> по отношение на същите допустими разходи, ако това натрупване би довело до интензитет на помощта, </w:t>
            </w:r>
            <w:r w:rsidRPr="00C52214">
              <w:rPr>
                <w:sz w:val="22"/>
                <w:szCs w:val="22"/>
              </w:rPr>
              <w:lastRenderedPageBreak/>
              <w:t>надхвърлящ праговете, установени в глава III от ОРГО (параграф 5).</w:t>
            </w:r>
          </w:p>
        </w:tc>
        <w:tc>
          <w:tcPr>
            <w:tcW w:w="6379" w:type="dxa"/>
            <w:shd w:val="clear" w:color="auto" w:fill="auto"/>
          </w:tcPr>
          <w:p w:rsidR="000E10AB" w:rsidRPr="0017445D" w:rsidRDefault="000E10AB" w:rsidP="00867005"/>
        </w:tc>
      </w:tr>
      <w:tr w:rsidR="00EC28E5" w:rsidRPr="002B692E" w:rsidTr="00F04C35">
        <w:trPr>
          <w:trHeight w:val="271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28E5" w:rsidRPr="00C52214" w:rsidRDefault="00EC28E5" w:rsidP="00EC28E5">
            <w:pPr>
              <w:tabs>
                <w:tab w:val="num" w:pos="360"/>
              </w:tabs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C52214">
              <w:rPr>
                <w:b/>
                <w:sz w:val="22"/>
                <w:szCs w:val="22"/>
              </w:rPr>
              <w:lastRenderedPageBreak/>
              <w:t xml:space="preserve">Член 9 — Публикуване и информация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28E5" w:rsidRPr="00EC28E5" w:rsidRDefault="00EC28E5" w:rsidP="00991A39"/>
        </w:tc>
      </w:tr>
      <w:tr w:rsidR="00EC28E5" w:rsidRPr="002B692E" w:rsidTr="00EC28E5">
        <w:trPr>
          <w:trHeight w:val="271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E5" w:rsidRPr="00C52214" w:rsidRDefault="00EC28E5" w:rsidP="00EC28E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28" w:hanging="328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Публикуване на подробен уебсайт за държавните помощи — на национално или регионално равнище — на следното (параграф 1):</w:t>
            </w:r>
          </w:p>
          <w:p w:rsidR="00EC28E5" w:rsidRPr="00C52214" w:rsidRDefault="00EC28E5" w:rsidP="00EC28E5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ind w:left="754" w:hanging="426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обобщената информация (вж. член 11) или връзка, която предоставя достъп до нея;</w:t>
            </w:r>
          </w:p>
          <w:p w:rsidR="00EC28E5" w:rsidRPr="00C52214" w:rsidRDefault="00EC28E5" w:rsidP="00EC28E5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ind w:left="754" w:hanging="426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пълния текст на всяка мярка за помощ (вж. член 11) или връзка, която предоставя достъп до него;</w:t>
            </w:r>
          </w:p>
          <w:p w:rsidR="00EC28E5" w:rsidRPr="00C52214" w:rsidRDefault="00EC28E5" w:rsidP="00EC28E5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ind w:left="754" w:hanging="426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информацията относно всяка предоставена индивидуална помощ, надхвърляща 500 000 евро (вж. приложение III).</w:t>
            </w:r>
          </w:p>
          <w:p w:rsidR="00EC28E5" w:rsidRPr="00C52214" w:rsidRDefault="00EC28E5" w:rsidP="00EC28E5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Що се отнася до помощта, предоставена в полза на проекти по цел „Европейско териториално сътрудничество“, информацията, посочена в настоящия параграф, се помества на уебсайта на държавата членка, в която е разположен съответният управителен орган, съгласно определениет</w:t>
            </w:r>
            <w:r w:rsidR="000E2F6F">
              <w:rPr>
                <w:sz w:val="22"/>
                <w:szCs w:val="22"/>
              </w:rPr>
              <w:t>о в член 21 от Регламент (ЕС) №</w:t>
            </w:r>
            <w:r w:rsidR="000E2F6F">
              <w:rPr>
                <w:sz w:val="22"/>
                <w:szCs w:val="22"/>
                <w:lang w:val="en-GB"/>
              </w:rPr>
              <w:t> </w:t>
            </w:r>
            <w:r w:rsidRPr="00C52214">
              <w:rPr>
                <w:sz w:val="22"/>
                <w:szCs w:val="22"/>
              </w:rPr>
              <w:t>1299/2013 на Европейския парламент и на Съвета. Като алтернативен вариант участващите държави членки могат също да решат всяка от тях да предоставя информацията относно мерките за помощ на тяхната територия на съответните уебсайтове.</w:t>
            </w:r>
          </w:p>
          <w:p w:rsidR="00EC28E5" w:rsidRPr="00C52214" w:rsidRDefault="00EC28E5" w:rsidP="00EC28E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28" w:hanging="283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За схемите под формата на данъчни предимства и схемите по членове 16 и 21 (с изключение на МСП, които не са осъществили търговска продажба на нито един пазар) условията, посочени в параграф 1, буква в) от настоящия член, се считат за изпълнени, ако държавите членки публикуват необходимата информация за размера на индивидуалните помощи в следните диапазони (в милиони евро) (параграф 2):</w:t>
            </w:r>
          </w:p>
          <w:p w:rsidR="00EC28E5" w:rsidRPr="00C52214" w:rsidRDefault="00EC28E5" w:rsidP="00EC28E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0,5—1;</w:t>
            </w:r>
          </w:p>
          <w:p w:rsidR="00EC28E5" w:rsidRPr="00C52214" w:rsidRDefault="00EC28E5" w:rsidP="00EC28E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1—2;</w:t>
            </w:r>
          </w:p>
          <w:p w:rsidR="00EC28E5" w:rsidRPr="00C52214" w:rsidRDefault="00EC28E5" w:rsidP="00EC28E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2—5;</w:t>
            </w:r>
          </w:p>
          <w:p w:rsidR="00EC28E5" w:rsidRPr="00C52214" w:rsidRDefault="00EC28E5" w:rsidP="00EC28E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5—10;</w:t>
            </w:r>
          </w:p>
          <w:p w:rsidR="00EC28E5" w:rsidRPr="00C52214" w:rsidRDefault="00EC28E5" w:rsidP="00EC28E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10—30; и</w:t>
            </w:r>
          </w:p>
          <w:p w:rsidR="00EC28E5" w:rsidRPr="00C52214" w:rsidRDefault="00EC28E5" w:rsidP="00EC28E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30 и повече.</w:t>
            </w:r>
          </w:p>
          <w:p w:rsidR="00EC28E5" w:rsidRPr="00C52214" w:rsidRDefault="00EC28E5" w:rsidP="00EC28E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28" w:hanging="283"/>
              <w:jc w:val="both"/>
              <w:rPr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 xml:space="preserve">Информацията, посочена в параграф 1, буква в), е организирана и достъпна по </w:t>
            </w:r>
            <w:r w:rsidRPr="00C52214">
              <w:rPr>
                <w:sz w:val="22"/>
                <w:szCs w:val="22"/>
              </w:rPr>
              <w:lastRenderedPageBreak/>
              <w:t>стандартизиран начин (вж. приложение III) и дава възможност за ефективно търсене и изтегляне. Информацията, посочена в параграф 1, се публикува до 6 месеца от датата на предоставяне на помощта или, за помощи под формата на данъчни предимства, до 1 година от датата, на която трябва да се подаде данъчната декларация, и е достъпна най-малко 10 години от датата, на която е предоставена помощта (параграф 4).</w:t>
            </w:r>
          </w:p>
          <w:p w:rsidR="00EC28E5" w:rsidRPr="00C52214" w:rsidRDefault="00EC28E5" w:rsidP="00EC28E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28" w:hanging="283"/>
              <w:jc w:val="both"/>
              <w:rPr>
                <w:b/>
                <w:sz w:val="22"/>
                <w:szCs w:val="22"/>
              </w:rPr>
            </w:pPr>
            <w:r w:rsidRPr="00C52214">
              <w:rPr>
                <w:sz w:val="22"/>
                <w:szCs w:val="22"/>
              </w:rPr>
              <w:t>Държавите членки осигуряват съответствие с разпоредбите на настоящия член най-късно две години след влизане в сила на настоящия регламент (т.e. 1.7.2016 г.) (параграф 6).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E5" w:rsidRPr="00EC28E5" w:rsidRDefault="00EC28E5" w:rsidP="00991A39"/>
        </w:tc>
      </w:tr>
    </w:tbl>
    <w:p w:rsidR="00EC28E5" w:rsidRDefault="00EC28E5" w:rsidP="007D461F">
      <w:pPr>
        <w:rPr>
          <w:b/>
        </w:rPr>
      </w:pPr>
    </w:p>
    <w:p w:rsidR="007D461F" w:rsidRDefault="007D461F" w:rsidP="007D461F">
      <w:r>
        <w:rPr>
          <w:b/>
        </w:rPr>
        <w:t>За определенията на понятията</w:t>
      </w:r>
      <w:r>
        <w:t>: член 2 (да се обърне внимание на новото определение на предприятие в затруднено положение).</w:t>
      </w:r>
    </w:p>
    <w:p w:rsidR="00D64EFF" w:rsidRDefault="00D64EFF" w:rsidP="007D461F"/>
    <w:p w:rsidR="007D461F" w:rsidRDefault="00EC28E5" w:rsidP="007D461F">
      <w:r>
        <w:rPr>
          <w:b/>
        </w:rPr>
        <w:t>Докладване</w:t>
      </w:r>
      <w:r>
        <w:t>: член 11.</w:t>
      </w:r>
    </w:p>
    <w:p w:rsidR="007D461F" w:rsidRPr="0017445D" w:rsidRDefault="007D461F" w:rsidP="007D461F">
      <w:r>
        <w:rPr>
          <w:b/>
        </w:rPr>
        <w:t>Контрол</w:t>
      </w:r>
      <w:r>
        <w:t>:член12</w:t>
      </w:r>
    </w:p>
    <w:p w:rsidR="007D461F" w:rsidRDefault="00DD57E1">
      <w:r>
        <w:rPr>
          <w:b/>
        </w:rPr>
        <w:t>Отмяна на груповото освобождаване</w:t>
      </w:r>
      <w:r>
        <w:t>: член 10.</w:t>
      </w:r>
    </w:p>
    <w:p w:rsidR="00F177AC" w:rsidRDefault="00F177AC"/>
    <w:p w:rsidR="00003D17" w:rsidRPr="00404CBC" w:rsidRDefault="006A271E" w:rsidP="00FF40FA">
      <w:pPr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u w:val="single"/>
        </w:rPr>
        <w:lastRenderedPageBreak/>
        <w:t>Б. Специални условия за помощите за местни инфраструктури</w:t>
      </w:r>
    </w:p>
    <w:p w:rsidR="00003D17" w:rsidRDefault="00003D17" w:rsidP="00003D17"/>
    <w:tbl>
      <w:tblPr>
        <w:tblW w:w="52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6"/>
        <w:gridCol w:w="6753"/>
      </w:tblGrid>
      <w:tr w:rsidR="00895393" w:rsidRPr="008243DE" w:rsidTr="00895393">
        <w:trPr>
          <w:trHeight w:val="145"/>
        </w:trPr>
        <w:tc>
          <w:tcPr>
            <w:tcW w:w="2687" w:type="pct"/>
            <w:tcBorders>
              <w:bottom w:val="single" w:sz="4" w:space="0" w:color="auto"/>
            </w:tcBorders>
            <w:shd w:val="clear" w:color="auto" w:fill="333399"/>
          </w:tcPr>
          <w:p w:rsidR="006A271E" w:rsidRDefault="006A271E" w:rsidP="006A271E">
            <w:pPr>
              <w:ind w:left="360"/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</w:rPr>
              <w:t>Член 56</w:t>
            </w:r>
          </w:p>
          <w:p w:rsidR="00BB080C" w:rsidRPr="008243DE" w:rsidRDefault="00FF40FA" w:rsidP="00FF40FA">
            <w:pPr>
              <w:ind w:left="360"/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</w:rPr>
              <w:t>Помощи за местни инфраструктури</w:t>
            </w:r>
          </w:p>
        </w:tc>
        <w:tc>
          <w:tcPr>
            <w:tcW w:w="2313" w:type="pct"/>
            <w:shd w:val="clear" w:color="auto" w:fill="333399"/>
          </w:tcPr>
          <w:p w:rsidR="00BB080C" w:rsidRPr="008243DE" w:rsidRDefault="00BB080C" w:rsidP="00D324A5">
            <w:pPr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</w:rPr>
              <w:t>Проверка на съответствието (OK?)</w:t>
            </w:r>
          </w:p>
        </w:tc>
      </w:tr>
      <w:tr w:rsidR="003B2065" w:rsidTr="00ED0D54">
        <w:trPr>
          <w:trHeight w:val="287"/>
        </w:trPr>
        <w:tc>
          <w:tcPr>
            <w:tcW w:w="2687" w:type="pct"/>
            <w:shd w:val="clear" w:color="auto" w:fill="D9D9D9"/>
          </w:tcPr>
          <w:p w:rsidR="003B2065" w:rsidRPr="00ED0D54" w:rsidRDefault="003B2065" w:rsidP="00F04C35">
            <w:pPr>
              <w:autoSpaceDE w:val="0"/>
              <w:autoSpaceDN w:val="0"/>
              <w:adjustRightInd w:val="0"/>
              <w:ind w:left="317"/>
              <w:jc w:val="both"/>
            </w:pPr>
            <w:r>
              <w:rPr>
                <w:b/>
              </w:rPr>
              <w:t>Вид на инфраструктурата</w:t>
            </w:r>
            <w:r>
              <w:t xml:space="preserve">: </w:t>
            </w:r>
          </w:p>
        </w:tc>
        <w:tc>
          <w:tcPr>
            <w:tcW w:w="2313" w:type="pct"/>
            <w:shd w:val="clear" w:color="auto" w:fill="D9D9D9"/>
          </w:tcPr>
          <w:p w:rsidR="003B2065" w:rsidRDefault="003B2065" w:rsidP="00D324A5"/>
        </w:tc>
      </w:tr>
      <w:tr w:rsidR="003B2065" w:rsidTr="00895393">
        <w:trPr>
          <w:trHeight w:val="850"/>
        </w:trPr>
        <w:tc>
          <w:tcPr>
            <w:tcW w:w="2687" w:type="pct"/>
            <w:shd w:val="clear" w:color="auto" w:fill="auto"/>
          </w:tcPr>
          <w:p w:rsidR="003B2065" w:rsidRPr="005D089B" w:rsidRDefault="003B2065" w:rsidP="003B206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sz w:val="22"/>
                <w:szCs w:val="22"/>
              </w:rPr>
            </w:pPr>
            <w:r w:rsidRPr="005D089B">
              <w:rPr>
                <w:sz w:val="22"/>
                <w:szCs w:val="22"/>
              </w:rPr>
              <w:t xml:space="preserve">Финансирането за изграждане или модернизиране на местни инфраструктури (засягащо инфраструктура, която допринася на местно равнище за </w:t>
            </w:r>
            <w:r w:rsidRPr="005D089B">
              <w:rPr>
                <w:b/>
                <w:sz w:val="22"/>
                <w:szCs w:val="22"/>
              </w:rPr>
              <w:t>подобряване на бизнес средата и на условията за потребителите и за осъвременяване и развитие на индустриалната база</w:t>
            </w:r>
            <w:r w:rsidRPr="005D089B">
              <w:rPr>
                <w:sz w:val="22"/>
                <w:szCs w:val="22"/>
              </w:rPr>
              <w:t>) е съвместимо и освободено от задължението за уведомяване, ако са изпълнени общите условия за съвместимост и условията на този член (параграф 1).</w:t>
            </w:r>
          </w:p>
          <w:p w:rsidR="003B2065" w:rsidRPr="005D089B" w:rsidRDefault="003B2065" w:rsidP="00B733A5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5D089B">
              <w:rPr>
                <w:sz w:val="22"/>
                <w:szCs w:val="22"/>
              </w:rPr>
              <w:t xml:space="preserve">Този член </w:t>
            </w:r>
            <w:r w:rsidRPr="005D089B">
              <w:rPr>
                <w:b/>
                <w:sz w:val="22"/>
                <w:szCs w:val="22"/>
              </w:rPr>
              <w:t>не се прилага за помощите за инфраструктури, които са обхванати от други раздели</w:t>
            </w:r>
            <w:r w:rsidRPr="005D089B">
              <w:rPr>
                <w:sz w:val="22"/>
                <w:szCs w:val="22"/>
              </w:rPr>
              <w:t xml:space="preserve"> в глава III на ОРГО, с изключение на раздел 1 „Регионални помощи“. Този член не се прилага също така за летищна и пристанищна инфраструктура (параграф 2).</w:t>
            </w:r>
          </w:p>
          <w:p w:rsidR="003B2065" w:rsidRDefault="003B2065" w:rsidP="003B206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7" w:hanging="283"/>
              <w:jc w:val="both"/>
            </w:pPr>
            <w:r w:rsidRPr="005D089B">
              <w:rPr>
                <w:b/>
                <w:sz w:val="22"/>
                <w:szCs w:val="22"/>
              </w:rPr>
              <w:t>Специалната инфраструктура</w:t>
            </w:r>
            <w:r w:rsidRPr="005D089B">
              <w:rPr>
                <w:sz w:val="22"/>
                <w:szCs w:val="22"/>
              </w:rPr>
              <w:t xml:space="preserve"> не се освобождава от задължението за уведомяване по смисъла на този член (параграф 7).</w:t>
            </w:r>
          </w:p>
        </w:tc>
        <w:tc>
          <w:tcPr>
            <w:tcW w:w="2313" w:type="pct"/>
            <w:shd w:val="clear" w:color="auto" w:fill="auto"/>
          </w:tcPr>
          <w:p w:rsidR="003B2065" w:rsidRDefault="003B2065" w:rsidP="00D324A5"/>
        </w:tc>
      </w:tr>
      <w:tr w:rsidR="003B2065" w:rsidRPr="00ED0D54" w:rsidTr="00ED0D54">
        <w:trPr>
          <w:trHeight w:val="288"/>
        </w:trPr>
        <w:tc>
          <w:tcPr>
            <w:tcW w:w="2687" w:type="pct"/>
            <w:shd w:val="clear" w:color="auto" w:fill="D9D9D9"/>
          </w:tcPr>
          <w:p w:rsidR="003B2065" w:rsidRPr="00ED0D54" w:rsidDel="003B2065" w:rsidRDefault="003B2065" w:rsidP="00F04C35">
            <w:pPr>
              <w:autoSpaceDE w:val="0"/>
              <w:autoSpaceDN w:val="0"/>
              <w:adjustRightInd w:val="0"/>
              <w:ind w:left="317"/>
              <w:jc w:val="both"/>
              <w:rPr>
                <w:b/>
              </w:rPr>
            </w:pPr>
            <w:r>
              <w:rPr>
                <w:b/>
              </w:rPr>
              <w:t xml:space="preserve">Условия </w:t>
            </w:r>
          </w:p>
        </w:tc>
        <w:tc>
          <w:tcPr>
            <w:tcW w:w="2313" w:type="pct"/>
            <w:shd w:val="clear" w:color="auto" w:fill="D9D9D9"/>
          </w:tcPr>
          <w:p w:rsidR="003B2065" w:rsidRPr="00ED0D54" w:rsidRDefault="003B2065" w:rsidP="00D324A5">
            <w:pPr>
              <w:rPr>
                <w:b/>
              </w:rPr>
            </w:pPr>
          </w:p>
        </w:tc>
      </w:tr>
      <w:tr w:rsidR="003B2065" w:rsidTr="00895393">
        <w:trPr>
          <w:trHeight w:val="850"/>
        </w:trPr>
        <w:tc>
          <w:tcPr>
            <w:tcW w:w="2687" w:type="pct"/>
            <w:shd w:val="clear" w:color="auto" w:fill="auto"/>
          </w:tcPr>
          <w:p w:rsidR="003B2065" w:rsidRPr="005D089B" w:rsidRDefault="003B2065" w:rsidP="00F04C35">
            <w:pPr>
              <w:numPr>
                <w:ilvl w:val="0"/>
                <w:numId w:val="48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5D089B">
              <w:rPr>
                <w:b/>
                <w:sz w:val="22"/>
                <w:szCs w:val="22"/>
              </w:rPr>
              <w:t>Заинтересованите потребители получават</w:t>
            </w:r>
            <w:r w:rsidRPr="005D089B">
              <w:rPr>
                <w:sz w:val="22"/>
                <w:szCs w:val="22"/>
              </w:rPr>
              <w:t xml:space="preserve"> </w:t>
            </w:r>
            <w:r w:rsidRPr="005D089B">
              <w:rPr>
                <w:b/>
                <w:sz w:val="22"/>
                <w:szCs w:val="22"/>
              </w:rPr>
              <w:t xml:space="preserve">достъп </w:t>
            </w:r>
            <w:r w:rsidRPr="005D089B">
              <w:rPr>
                <w:sz w:val="22"/>
                <w:szCs w:val="22"/>
              </w:rPr>
              <w:t>до инфраструктурата</w:t>
            </w:r>
            <w:r w:rsidRPr="005D089B">
              <w:rPr>
                <w:b/>
                <w:sz w:val="22"/>
                <w:szCs w:val="22"/>
              </w:rPr>
              <w:t xml:space="preserve"> на открита, прозрачна и недискриминационна основа</w:t>
            </w:r>
            <w:r w:rsidRPr="005D089B">
              <w:rPr>
                <w:sz w:val="22"/>
                <w:szCs w:val="22"/>
              </w:rPr>
              <w:t>. Цената за използването или продажбата на инфраструктурата съответства на пазарната цена (параграф 3).</w:t>
            </w:r>
          </w:p>
          <w:p w:rsidR="003B2065" w:rsidDel="003B2065" w:rsidRDefault="003B2065" w:rsidP="00F04C35">
            <w:pPr>
              <w:numPr>
                <w:ilvl w:val="0"/>
                <w:numId w:val="48"/>
              </w:numPr>
              <w:ind w:left="317" w:hanging="283"/>
              <w:jc w:val="both"/>
            </w:pPr>
            <w:r w:rsidRPr="005D089B">
              <w:rPr>
                <w:sz w:val="22"/>
                <w:szCs w:val="22"/>
              </w:rPr>
              <w:t xml:space="preserve">Всяка </w:t>
            </w:r>
            <w:r w:rsidRPr="005D089B">
              <w:rPr>
                <w:b/>
                <w:sz w:val="22"/>
                <w:szCs w:val="22"/>
              </w:rPr>
              <w:t>концесия или друго възлагане</w:t>
            </w:r>
            <w:r w:rsidRPr="005D089B">
              <w:rPr>
                <w:sz w:val="22"/>
                <w:szCs w:val="22"/>
              </w:rPr>
              <w:t xml:space="preserve"> на трета страна на експлоатацията на инфраструктурата се извършва по открит, прозрачен и недискриминационен начин, като се зачитат приложимите правила за възлагане на обществени поръчки (параграф 4).</w:t>
            </w:r>
          </w:p>
        </w:tc>
        <w:tc>
          <w:tcPr>
            <w:tcW w:w="2313" w:type="pct"/>
            <w:shd w:val="clear" w:color="auto" w:fill="auto"/>
          </w:tcPr>
          <w:p w:rsidR="003B2065" w:rsidRDefault="003B2065" w:rsidP="00D324A5"/>
        </w:tc>
      </w:tr>
      <w:tr w:rsidR="003B2065" w:rsidTr="00F04C35">
        <w:trPr>
          <w:trHeight w:val="428"/>
        </w:trPr>
        <w:tc>
          <w:tcPr>
            <w:tcW w:w="2687" w:type="pct"/>
            <w:shd w:val="clear" w:color="auto" w:fill="auto"/>
          </w:tcPr>
          <w:p w:rsidR="003B2065" w:rsidRPr="005D089B" w:rsidDel="003B2065" w:rsidRDefault="003B2065" w:rsidP="00ED0D54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5D089B">
              <w:rPr>
                <w:b/>
                <w:sz w:val="22"/>
                <w:szCs w:val="22"/>
              </w:rPr>
              <w:t>Допустимите разходи</w:t>
            </w:r>
            <w:r w:rsidRPr="005D089B">
              <w:rPr>
                <w:sz w:val="22"/>
                <w:szCs w:val="22"/>
              </w:rPr>
              <w:t xml:space="preserve"> са разходите за инвестиции в материални и нематериални активи (параграф 5).</w:t>
            </w:r>
          </w:p>
        </w:tc>
        <w:tc>
          <w:tcPr>
            <w:tcW w:w="2313" w:type="pct"/>
            <w:shd w:val="clear" w:color="auto" w:fill="auto"/>
          </w:tcPr>
          <w:p w:rsidR="003B2065" w:rsidRDefault="003B2065" w:rsidP="00D324A5"/>
        </w:tc>
      </w:tr>
      <w:tr w:rsidR="00895393" w:rsidTr="00F04C35">
        <w:trPr>
          <w:trHeight w:val="833"/>
        </w:trPr>
        <w:tc>
          <w:tcPr>
            <w:tcW w:w="2687" w:type="pct"/>
            <w:shd w:val="clear" w:color="auto" w:fill="auto"/>
          </w:tcPr>
          <w:p w:rsidR="00FF40FA" w:rsidRPr="005D089B" w:rsidRDefault="00FF40FA" w:rsidP="00F04C35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5D089B">
              <w:rPr>
                <w:b/>
                <w:sz w:val="22"/>
                <w:szCs w:val="22"/>
              </w:rPr>
              <w:lastRenderedPageBreak/>
              <w:t>Размерът на помощта не надхвърля</w:t>
            </w:r>
            <w:r w:rsidRPr="005D089B">
              <w:rPr>
                <w:sz w:val="22"/>
                <w:szCs w:val="22"/>
              </w:rPr>
              <w:t xml:space="preserve"> разликата между допустимите разходи и оперативната печалба от инвестицията. Оперативната печалба се приспада от допустимите разходи предварително въз основа на реалистични хипотези или чрез механизъм за възстановяване на средства (параграф 6).</w:t>
            </w:r>
          </w:p>
        </w:tc>
        <w:tc>
          <w:tcPr>
            <w:tcW w:w="2313" w:type="pct"/>
            <w:shd w:val="clear" w:color="auto" w:fill="auto"/>
          </w:tcPr>
          <w:p w:rsidR="00BB080C" w:rsidRDefault="00BB080C" w:rsidP="00D324A5"/>
        </w:tc>
      </w:tr>
    </w:tbl>
    <w:p w:rsidR="00A67375" w:rsidRDefault="00A67375" w:rsidP="009F52DA"/>
    <w:sectPr w:rsidR="00A67375" w:rsidSect="002358C6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81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10" w:rsidRDefault="00865B10">
      <w:r>
        <w:separator/>
      </w:r>
    </w:p>
  </w:endnote>
  <w:endnote w:type="continuationSeparator" w:id="0">
    <w:p w:rsidR="00865B10" w:rsidRDefault="0086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C6" w:rsidRPr="002358C6" w:rsidRDefault="002358C6" w:rsidP="002358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0100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C6" w:rsidRPr="002358C6" w:rsidRDefault="002358C6">
    <w:pPr>
      <w:pStyle w:val="Footer"/>
    </w:pPr>
    <w:r>
      <w:t>юни 2015 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10" w:rsidRDefault="00865B10">
      <w:r>
        <w:separator/>
      </w:r>
    </w:p>
  </w:footnote>
  <w:footnote w:type="continuationSeparator" w:id="0">
    <w:p w:rsidR="00865B10" w:rsidRDefault="0086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27" w:rsidRDefault="00D07327" w:rsidP="00D07327">
    <w:pPr>
      <w:autoSpaceDE w:val="0"/>
      <w:autoSpaceDN w:val="0"/>
      <w:ind w:right="-567"/>
      <w:jc w:val="both"/>
      <w:rPr>
        <w:b/>
        <w:bCs/>
        <w:noProof/>
        <w:snapToGrid w:val="0"/>
        <w:color w:val="000000"/>
        <w:u w:val="single"/>
      </w:rPr>
    </w:pPr>
    <w:r>
      <w:rPr>
        <w:b/>
        <w:noProof/>
        <w:snapToGrid w:val="0"/>
        <w:color w:val="000000"/>
        <w:u w:val="single"/>
      </w:rPr>
      <w:t>ДЕКЛАРАЦИЯ ЗА ОТКАЗ ОТ ОТГОВОРНОСТ</w:t>
    </w:r>
  </w:p>
  <w:p w:rsidR="00D07327" w:rsidRDefault="00D07327" w:rsidP="00D07327">
    <w:pPr>
      <w:autoSpaceDE w:val="0"/>
      <w:autoSpaceDN w:val="0"/>
      <w:ind w:right="-567"/>
      <w:jc w:val="both"/>
      <w:rPr>
        <w:b/>
        <w:bCs/>
        <w:noProof/>
        <w:snapToGrid w:val="0"/>
        <w:color w:val="000000"/>
        <w:u w:val="single"/>
      </w:rPr>
    </w:pPr>
  </w:p>
  <w:p w:rsidR="00D07327" w:rsidRDefault="00D07327" w:rsidP="00D07327">
    <w:pPr>
      <w:ind w:left="720"/>
      <w:jc w:val="both"/>
    </w:pPr>
    <w:r>
      <w:rPr>
        <w:b/>
        <w:i/>
      </w:rPr>
      <w:t>Настоящият контролен лист не е официален документ на Европейската комисия. Макар че може да представлява полезен допълнителен инструмент за прилагането на Регламент № 651/2014 на Комисията от 17 юни 2014 г. (ОРГО), той не замества този регламент, пълното спазване на чиито разпоредби е единственият начин за ползване на предвиденото в него освобождаване от задължението за уведомяване.</w:t>
    </w:r>
  </w:p>
  <w:p w:rsidR="00A21C81" w:rsidRDefault="00A21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C6" w:rsidRDefault="002358C6" w:rsidP="002358C6">
    <w:pPr>
      <w:autoSpaceDE w:val="0"/>
      <w:autoSpaceDN w:val="0"/>
      <w:ind w:right="-567"/>
      <w:jc w:val="both"/>
      <w:rPr>
        <w:b/>
        <w:bCs/>
        <w:noProof/>
        <w:snapToGrid w:val="0"/>
        <w:color w:val="000000"/>
        <w:u w:val="single"/>
      </w:rPr>
    </w:pPr>
    <w:r>
      <w:rPr>
        <w:b/>
        <w:noProof/>
        <w:snapToGrid w:val="0"/>
        <w:color w:val="000000"/>
        <w:u w:val="single"/>
      </w:rPr>
      <w:t>ДЕКЛАРАЦИЯ ЗА ОТКАЗ ОТ ОТГОВОРНОСТ</w:t>
    </w:r>
  </w:p>
  <w:p w:rsidR="002358C6" w:rsidRDefault="002358C6" w:rsidP="002358C6">
    <w:pPr>
      <w:autoSpaceDE w:val="0"/>
      <w:autoSpaceDN w:val="0"/>
      <w:ind w:right="-567"/>
      <w:jc w:val="both"/>
      <w:rPr>
        <w:b/>
        <w:bCs/>
        <w:noProof/>
        <w:snapToGrid w:val="0"/>
        <w:color w:val="000000"/>
        <w:u w:val="single"/>
      </w:rPr>
    </w:pPr>
  </w:p>
  <w:p w:rsidR="002358C6" w:rsidRDefault="002358C6" w:rsidP="002358C6">
    <w:pPr>
      <w:ind w:left="720"/>
      <w:jc w:val="both"/>
    </w:pPr>
    <w:r>
      <w:rPr>
        <w:b/>
        <w:i/>
      </w:rPr>
      <w:t>Настоящият контролен лист не е официален документ на Европейската комисия. Макар че може да представлява полезен допълнителен инструмент за прилагането на Регламент № 651/2014 на Комисията от 17 юни 2014 г. (ОРГО), той не замества този регламент, пълното спазване на чиито разпоредби е единственият начин за ползване на предвиденото в него освобождаване от задължението за уведомяване.</w:t>
    </w:r>
  </w:p>
  <w:p w:rsidR="002358C6" w:rsidRDefault="00235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66E"/>
    <w:multiLevelType w:val="hybridMultilevel"/>
    <w:tmpl w:val="95E2A0A0"/>
    <w:lvl w:ilvl="0" w:tplc="531A6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91837"/>
    <w:multiLevelType w:val="hybridMultilevel"/>
    <w:tmpl w:val="2312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65D80"/>
    <w:multiLevelType w:val="hybridMultilevel"/>
    <w:tmpl w:val="8CB0B1B6"/>
    <w:lvl w:ilvl="0" w:tplc="531A62E0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>
    <w:nsid w:val="0B9165AD"/>
    <w:multiLevelType w:val="hybridMultilevel"/>
    <w:tmpl w:val="AE2AF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0070D"/>
    <w:multiLevelType w:val="hybridMultilevel"/>
    <w:tmpl w:val="7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4B63"/>
    <w:multiLevelType w:val="hybridMultilevel"/>
    <w:tmpl w:val="A76203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62E5"/>
    <w:multiLevelType w:val="hybridMultilevel"/>
    <w:tmpl w:val="4F086B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954F7A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760C0"/>
    <w:multiLevelType w:val="hybridMultilevel"/>
    <w:tmpl w:val="8E12EC76"/>
    <w:lvl w:ilvl="0" w:tplc="2954F7A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F5078"/>
    <w:multiLevelType w:val="hybridMultilevel"/>
    <w:tmpl w:val="6EBA58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5642CE"/>
    <w:multiLevelType w:val="hybridMultilevel"/>
    <w:tmpl w:val="8418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736DE"/>
    <w:multiLevelType w:val="hybridMultilevel"/>
    <w:tmpl w:val="DB6C6E98"/>
    <w:lvl w:ilvl="0" w:tplc="326471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9F04FB"/>
    <w:multiLevelType w:val="hybridMultilevel"/>
    <w:tmpl w:val="63B2303E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576D8"/>
    <w:multiLevelType w:val="hybridMultilevel"/>
    <w:tmpl w:val="AAE48EC2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1A6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D6CCA"/>
    <w:multiLevelType w:val="hybridMultilevel"/>
    <w:tmpl w:val="87B22D28"/>
    <w:lvl w:ilvl="0" w:tplc="32647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23775"/>
    <w:multiLevelType w:val="hybridMultilevel"/>
    <w:tmpl w:val="65421E44"/>
    <w:lvl w:ilvl="0" w:tplc="2954F7A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sz w:val="22"/>
      </w:rPr>
    </w:lvl>
    <w:lvl w:ilvl="1" w:tplc="0FD24D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F4C32"/>
    <w:multiLevelType w:val="hybridMultilevel"/>
    <w:tmpl w:val="B4FCAE1E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0298C"/>
    <w:multiLevelType w:val="hybridMultilevel"/>
    <w:tmpl w:val="3C26DB34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1A6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664B04"/>
    <w:multiLevelType w:val="hybridMultilevel"/>
    <w:tmpl w:val="15BAF8CA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656B7"/>
    <w:multiLevelType w:val="hybridMultilevel"/>
    <w:tmpl w:val="A2AC4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864340"/>
    <w:multiLevelType w:val="hybridMultilevel"/>
    <w:tmpl w:val="9A0EA3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13264B6">
      <w:start w:val="2"/>
      <w:numFmt w:val="bullet"/>
      <w:lvlText w:val="—"/>
      <w:lvlJc w:val="left"/>
      <w:pPr>
        <w:ind w:left="1440" w:hanging="360"/>
      </w:pPr>
      <w:rPr>
        <w:rFonts w:ascii="EUAlbertina-Regu" w:eastAsia="Times New Roman" w:hAnsi="EUAlbertina-Regu" w:cs="EUAlbertina-Regu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4A6D3B"/>
    <w:multiLevelType w:val="hybridMultilevel"/>
    <w:tmpl w:val="6666B85A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7F4D52"/>
    <w:multiLevelType w:val="hybridMultilevel"/>
    <w:tmpl w:val="2C10C468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F103E"/>
    <w:multiLevelType w:val="hybridMultilevel"/>
    <w:tmpl w:val="B936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420C27"/>
    <w:multiLevelType w:val="hybridMultilevel"/>
    <w:tmpl w:val="B5B6BA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B5155E"/>
    <w:multiLevelType w:val="hybridMultilevel"/>
    <w:tmpl w:val="F468CEF2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CB5AEB"/>
    <w:multiLevelType w:val="hybridMultilevel"/>
    <w:tmpl w:val="6900A176"/>
    <w:lvl w:ilvl="0" w:tplc="32647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FF0D20"/>
    <w:multiLevelType w:val="hybridMultilevel"/>
    <w:tmpl w:val="AB8A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A23BA"/>
    <w:multiLevelType w:val="hybridMultilevel"/>
    <w:tmpl w:val="ACDE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3D12C9"/>
    <w:multiLevelType w:val="hybridMultilevel"/>
    <w:tmpl w:val="9704F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A09397E"/>
    <w:multiLevelType w:val="hybridMultilevel"/>
    <w:tmpl w:val="B98EF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E461F4"/>
    <w:multiLevelType w:val="hybridMultilevel"/>
    <w:tmpl w:val="4D8C4470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2A65AC"/>
    <w:multiLevelType w:val="hybridMultilevel"/>
    <w:tmpl w:val="8BE2DDD8"/>
    <w:lvl w:ilvl="0" w:tplc="08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32">
    <w:nsid w:val="3F8C25C8"/>
    <w:multiLevelType w:val="hybridMultilevel"/>
    <w:tmpl w:val="2038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3F78B6"/>
    <w:multiLevelType w:val="hybridMultilevel"/>
    <w:tmpl w:val="CD70F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3E26BE8"/>
    <w:multiLevelType w:val="hybridMultilevel"/>
    <w:tmpl w:val="EE0ABADA"/>
    <w:lvl w:ilvl="0" w:tplc="32647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5871D5"/>
    <w:multiLevelType w:val="hybridMultilevel"/>
    <w:tmpl w:val="C5D2B0D8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8F1D5E"/>
    <w:multiLevelType w:val="hybridMultilevel"/>
    <w:tmpl w:val="D0A6162A"/>
    <w:lvl w:ilvl="0" w:tplc="531A62E0">
      <w:numFmt w:val="bullet"/>
      <w:lvlText w:val="-"/>
      <w:lvlJc w:val="left"/>
      <w:pPr>
        <w:ind w:left="68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7">
    <w:nsid w:val="52612975"/>
    <w:multiLevelType w:val="hybridMultilevel"/>
    <w:tmpl w:val="60F65676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1A6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087186"/>
    <w:multiLevelType w:val="hybridMultilevel"/>
    <w:tmpl w:val="D7D0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4526F4"/>
    <w:multiLevelType w:val="hybridMultilevel"/>
    <w:tmpl w:val="3B9E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0135DC"/>
    <w:multiLevelType w:val="hybridMultilevel"/>
    <w:tmpl w:val="B0D6ADF8"/>
    <w:lvl w:ilvl="0" w:tplc="531A6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A6E0566"/>
    <w:multiLevelType w:val="hybridMultilevel"/>
    <w:tmpl w:val="0CE4D5BE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2">
    <w:nsid w:val="5DB816A3"/>
    <w:multiLevelType w:val="hybridMultilevel"/>
    <w:tmpl w:val="BE6CC93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0126EAF"/>
    <w:multiLevelType w:val="hybridMultilevel"/>
    <w:tmpl w:val="F5B496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071078B"/>
    <w:multiLevelType w:val="hybridMultilevel"/>
    <w:tmpl w:val="807A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757F28"/>
    <w:multiLevelType w:val="hybridMultilevel"/>
    <w:tmpl w:val="E6EE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085285"/>
    <w:multiLevelType w:val="hybridMultilevel"/>
    <w:tmpl w:val="DDC0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9F064B4"/>
    <w:multiLevelType w:val="hybridMultilevel"/>
    <w:tmpl w:val="26945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A256691"/>
    <w:multiLevelType w:val="hybridMultilevel"/>
    <w:tmpl w:val="36A0E6CC"/>
    <w:lvl w:ilvl="0" w:tplc="531A62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5447C67"/>
    <w:multiLevelType w:val="hybridMultilevel"/>
    <w:tmpl w:val="7D187A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B6A69AB"/>
    <w:multiLevelType w:val="hybridMultilevel"/>
    <w:tmpl w:val="2E04AFBE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9"/>
  </w:num>
  <w:num w:numId="3">
    <w:abstractNumId w:val="18"/>
  </w:num>
  <w:num w:numId="4">
    <w:abstractNumId w:val="42"/>
  </w:num>
  <w:num w:numId="5">
    <w:abstractNumId w:val="8"/>
  </w:num>
  <w:num w:numId="6">
    <w:abstractNumId w:val="43"/>
  </w:num>
  <w:num w:numId="7">
    <w:abstractNumId w:val="0"/>
  </w:num>
  <w:num w:numId="8">
    <w:abstractNumId w:val="26"/>
  </w:num>
  <w:num w:numId="9">
    <w:abstractNumId w:val="5"/>
  </w:num>
  <w:num w:numId="10">
    <w:abstractNumId w:val="38"/>
  </w:num>
  <w:num w:numId="11">
    <w:abstractNumId w:val="7"/>
  </w:num>
  <w:num w:numId="12">
    <w:abstractNumId w:val="19"/>
  </w:num>
  <w:num w:numId="13">
    <w:abstractNumId w:val="12"/>
  </w:num>
  <w:num w:numId="14">
    <w:abstractNumId w:val="14"/>
  </w:num>
  <w:num w:numId="15">
    <w:abstractNumId w:val="45"/>
  </w:num>
  <w:num w:numId="16">
    <w:abstractNumId w:val="23"/>
  </w:num>
  <w:num w:numId="17">
    <w:abstractNumId w:val="10"/>
  </w:num>
  <w:num w:numId="18">
    <w:abstractNumId w:val="35"/>
  </w:num>
  <w:num w:numId="19">
    <w:abstractNumId w:val="9"/>
  </w:num>
  <w:num w:numId="20">
    <w:abstractNumId w:val="2"/>
  </w:num>
  <w:num w:numId="21">
    <w:abstractNumId w:val="41"/>
  </w:num>
  <w:num w:numId="22">
    <w:abstractNumId w:val="15"/>
  </w:num>
  <w:num w:numId="23">
    <w:abstractNumId w:val="22"/>
  </w:num>
  <w:num w:numId="24">
    <w:abstractNumId w:val="30"/>
  </w:num>
  <w:num w:numId="25">
    <w:abstractNumId w:val="39"/>
  </w:num>
  <w:num w:numId="26">
    <w:abstractNumId w:val="44"/>
  </w:num>
  <w:num w:numId="27">
    <w:abstractNumId w:val="27"/>
  </w:num>
  <w:num w:numId="28">
    <w:abstractNumId w:val="3"/>
  </w:num>
  <w:num w:numId="29">
    <w:abstractNumId w:val="40"/>
  </w:num>
  <w:num w:numId="30">
    <w:abstractNumId w:val="11"/>
  </w:num>
  <w:num w:numId="31">
    <w:abstractNumId w:val="17"/>
  </w:num>
  <w:num w:numId="32">
    <w:abstractNumId w:val="36"/>
  </w:num>
  <w:num w:numId="33">
    <w:abstractNumId w:val="46"/>
  </w:num>
  <w:num w:numId="34">
    <w:abstractNumId w:val="33"/>
  </w:num>
  <w:num w:numId="35">
    <w:abstractNumId w:val="50"/>
  </w:num>
  <w:num w:numId="36">
    <w:abstractNumId w:val="24"/>
  </w:num>
  <w:num w:numId="37">
    <w:abstractNumId w:val="16"/>
  </w:num>
  <w:num w:numId="38">
    <w:abstractNumId w:val="37"/>
  </w:num>
  <w:num w:numId="39">
    <w:abstractNumId w:val="25"/>
  </w:num>
  <w:num w:numId="40">
    <w:abstractNumId w:val="48"/>
  </w:num>
  <w:num w:numId="41">
    <w:abstractNumId w:val="34"/>
  </w:num>
  <w:num w:numId="42">
    <w:abstractNumId w:val="13"/>
  </w:num>
  <w:num w:numId="43">
    <w:abstractNumId w:val="20"/>
  </w:num>
  <w:num w:numId="44">
    <w:abstractNumId w:val="4"/>
  </w:num>
  <w:num w:numId="45">
    <w:abstractNumId w:val="31"/>
  </w:num>
  <w:num w:numId="46">
    <w:abstractNumId w:val="28"/>
  </w:num>
  <w:num w:numId="47">
    <w:abstractNumId w:val="49"/>
  </w:num>
  <w:num w:numId="48">
    <w:abstractNumId w:val="1"/>
  </w:num>
  <w:num w:numId="49">
    <w:abstractNumId w:val="32"/>
  </w:num>
  <w:num w:numId="50">
    <w:abstractNumId w:val="6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461F"/>
    <w:rsid w:val="00003443"/>
    <w:rsid w:val="00003D17"/>
    <w:rsid w:val="000307FC"/>
    <w:rsid w:val="000372A4"/>
    <w:rsid w:val="0004275D"/>
    <w:rsid w:val="00045763"/>
    <w:rsid w:val="00045C91"/>
    <w:rsid w:val="00047DB1"/>
    <w:rsid w:val="000550A4"/>
    <w:rsid w:val="00066155"/>
    <w:rsid w:val="000729AA"/>
    <w:rsid w:val="0007495E"/>
    <w:rsid w:val="000823F9"/>
    <w:rsid w:val="00085359"/>
    <w:rsid w:val="00085A76"/>
    <w:rsid w:val="000934FB"/>
    <w:rsid w:val="000969AA"/>
    <w:rsid w:val="0009762A"/>
    <w:rsid w:val="000A0383"/>
    <w:rsid w:val="000A19E8"/>
    <w:rsid w:val="000A2636"/>
    <w:rsid w:val="000B0C62"/>
    <w:rsid w:val="000C51C2"/>
    <w:rsid w:val="000E10AB"/>
    <w:rsid w:val="000E2F6F"/>
    <w:rsid w:val="000E4DAE"/>
    <w:rsid w:val="000F1FCD"/>
    <w:rsid w:val="000F2C08"/>
    <w:rsid w:val="000F75EF"/>
    <w:rsid w:val="0012665D"/>
    <w:rsid w:val="0013556A"/>
    <w:rsid w:val="00143402"/>
    <w:rsid w:val="00155F45"/>
    <w:rsid w:val="00174C18"/>
    <w:rsid w:val="00176DBE"/>
    <w:rsid w:val="00180EAA"/>
    <w:rsid w:val="001A3C74"/>
    <w:rsid w:val="001B05F1"/>
    <w:rsid w:val="001C0C3A"/>
    <w:rsid w:val="001D0FD1"/>
    <w:rsid w:val="001F48D0"/>
    <w:rsid w:val="00206484"/>
    <w:rsid w:val="0020708C"/>
    <w:rsid w:val="00210AE5"/>
    <w:rsid w:val="00221B84"/>
    <w:rsid w:val="00222F1C"/>
    <w:rsid w:val="00226EE4"/>
    <w:rsid w:val="00231553"/>
    <w:rsid w:val="002358C6"/>
    <w:rsid w:val="002427AF"/>
    <w:rsid w:val="002470A3"/>
    <w:rsid w:val="00252D10"/>
    <w:rsid w:val="00275069"/>
    <w:rsid w:val="00291068"/>
    <w:rsid w:val="002920BD"/>
    <w:rsid w:val="00293736"/>
    <w:rsid w:val="002B3E57"/>
    <w:rsid w:val="002B4358"/>
    <w:rsid w:val="002B4CA9"/>
    <w:rsid w:val="002B54DF"/>
    <w:rsid w:val="002D4CC4"/>
    <w:rsid w:val="002E3BB9"/>
    <w:rsid w:val="00307511"/>
    <w:rsid w:val="00311BDC"/>
    <w:rsid w:val="00320100"/>
    <w:rsid w:val="00321646"/>
    <w:rsid w:val="0033045E"/>
    <w:rsid w:val="00335128"/>
    <w:rsid w:val="00336EAF"/>
    <w:rsid w:val="00337965"/>
    <w:rsid w:val="00356870"/>
    <w:rsid w:val="0037514B"/>
    <w:rsid w:val="0037615F"/>
    <w:rsid w:val="00397EC8"/>
    <w:rsid w:val="003A34CB"/>
    <w:rsid w:val="003A3FAE"/>
    <w:rsid w:val="003A70AE"/>
    <w:rsid w:val="003B2065"/>
    <w:rsid w:val="003B325C"/>
    <w:rsid w:val="003B745C"/>
    <w:rsid w:val="003D41BA"/>
    <w:rsid w:val="003E0049"/>
    <w:rsid w:val="003E00A3"/>
    <w:rsid w:val="003E4E9D"/>
    <w:rsid w:val="003E73DD"/>
    <w:rsid w:val="003F4732"/>
    <w:rsid w:val="003F6D97"/>
    <w:rsid w:val="003F7596"/>
    <w:rsid w:val="00400566"/>
    <w:rsid w:val="00402659"/>
    <w:rsid w:val="004114F5"/>
    <w:rsid w:val="00421231"/>
    <w:rsid w:val="0042377F"/>
    <w:rsid w:val="00424808"/>
    <w:rsid w:val="004412F5"/>
    <w:rsid w:val="004452B6"/>
    <w:rsid w:val="0045170D"/>
    <w:rsid w:val="004618BB"/>
    <w:rsid w:val="00461A7C"/>
    <w:rsid w:val="004745B1"/>
    <w:rsid w:val="00481FD8"/>
    <w:rsid w:val="0049725F"/>
    <w:rsid w:val="004B7EF7"/>
    <w:rsid w:val="004D0D76"/>
    <w:rsid w:val="004F201B"/>
    <w:rsid w:val="004F6330"/>
    <w:rsid w:val="00502676"/>
    <w:rsid w:val="00513516"/>
    <w:rsid w:val="00531692"/>
    <w:rsid w:val="00534552"/>
    <w:rsid w:val="005442C1"/>
    <w:rsid w:val="00554D95"/>
    <w:rsid w:val="00557283"/>
    <w:rsid w:val="00571298"/>
    <w:rsid w:val="0058203F"/>
    <w:rsid w:val="005875CA"/>
    <w:rsid w:val="00593387"/>
    <w:rsid w:val="005B598E"/>
    <w:rsid w:val="005D089B"/>
    <w:rsid w:val="005E23C6"/>
    <w:rsid w:val="005E7699"/>
    <w:rsid w:val="005F14EC"/>
    <w:rsid w:val="0061207C"/>
    <w:rsid w:val="0061345C"/>
    <w:rsid w:val="006149DC"/>
    <w:rsid w:val="006155AB"/>
    <w:rsid w:val="00620255"/>
    <w:rsid w:val="00624BDF"/>
    <w:rsid w:val="00626599"/>
    <w:rsid w:val="0063569E"/>
    <w:rsid w:val="00654CC5"/>
    <w:rsid w:val="00660ED7"/>
    <w:rsid w:val="00663D78"/>
    <w:rsid w:val="0066573A"/>
    <w:rsid w:val="0067010A"/>
    <w:rsid w:val="00674F49"/>
    <w:rsid w:val="00680EF8"/>
    <w:rsid w:val="00682CD5"/>
    <w:rsid w:val="006A271E"/>
    <w:rsid w:val="006A4CC8"/>
    <w:rsid w:val="006A7780"/>
    <w:rsid w:val="006C25CD"/>
    <w:rsid w:val="006C6F39"/>
    <w:rsid w:val="006D137E"/>
    <w:rsid w:val="006D612B"/>
    <w:rsid w:val="006E1F72"/>
    <w:rsid w:val="006E321A"/>
    <w:rsid w:val="00700170"/>
    <w:rsid w:val="0070535F"/>
    <w:rsid w:val="00744DF1"/>
    <w:rsid w:val="00761D21"/>
    <w:rsid w:val="0077008F"/>
    <w:rsid w:val="00773F1E"/>
    <w:rsid w:val="00783CA1"/>
    <w:rsid w:val="0079018B"/>
    <w:rsid w:val="007A2C05"/>
    <w:rsid w:val="007B0B68"/>
    <w:rsid w:val="007B6E14"/>
    <w:rsid w:val="007C4733"/>
    <w:rsid w:val="007D461F"/>
    <w:rsid w:val="007D6D47"/>
    <w:rsid w:val="007E1A2F"/>
    <w:rsid w:val="007F572A"/>
    <w:rsid w:val="00801247"/>
    <w:rsid w:val="00832B70"/>
    <w:rsid w:val="00832DAB"/>
    <w:rsid w:val="00836A6E"/>
    <w:rsid w:val="008476F4"/>
    <w:rsid w:val="00852C3B"/>
    <w:rsid w:val="00856814"/>
    <w:rsid w:val="00865B10"/>
    <w:rsid w:val="00867005"/>
    <w:rsid w:val="00870554"/>
    <w:rsid w:val="00883DFF"/>
    <w:rsid w:val="00885BB0"/>
    <w:rsid w:val="00895393"/>
    <w:rsid w:val="008A3AC1"/>
    <w:rsid w:val="008A3D6A"/>
    <w:rsid w:val="008B33CE"/>
    <w:rsid w:val="008C1495"/>
    <w:rsid w:val="008C5BB2"/>
    <w:rsid w:val="008D3D7C"/>
    <w:rsid w:val="008E58E5"/>
    <w:rsid w:val="008E6178"/>
    <w:rsid w:val="008F28E4"/>
    <w:rsid w:val="008F3609"/>
    <w:rsid w:val="008F661C"/>
    <w:rsid w:val="008F7532"/>
    <w:rsid w:val="008F79F4"/>
    <w:rsid w:val="00920585"/>
    <w:rsid w:val="0092466F"/>
    <w:rsid w:val="00931208"/>
    <w:rsid w:val="00947544"/>
    <w:rsid w:val="00950F6D"/>
    <w:rsid w:val="0095164F"/>
    <w:rsid w:val="0095335C"/>
    <w:rsid w:val="00960792"/>
    <w:rsid w:val="00977A9A"/>
    <w:rsid w:val="00981AB9"/>
    <w:rsid w:val="00986F2B"/>
    <w:rsid w:val="00991733"/>
    <w:rsid w:val="00991A39"/>
    <w:rsid w:val="00994B7C"/>
    <w:rsid w:val="00995DBB"/>
    <w:rsid w:val="009B0CDD"/>
    <w:rsid w:val="009C13FD"/>
    <w:rsid w:val="009E14D9"/>
    <w:rsid w:val="009F0902"/>
    <w:rsid w:val="009F52DA"/>
    <w:rsid w:val="00A21C2F"/>
    <w:rsid w:val="00A21C81"/>
    <w:rsid w:val="00A2428C"/>
    <w:rsid w:val="00A24976"/>
    <w:rsid w:val="00A404CF"/>
    <w:rsid w:val="00A415C5"/>
    <w:rsid w:val="00A43E85"/>
    <w:rsid w:val="00A46329"/>
    <w:rsid w:val="00A46614"/>
    <w:rsid w:val="00A6604D"/>
    <w:rsid w:val="00A67375"/>
    <w:rsid w:val="00A67EFB"/>
    <w:rsid w:val="00A8428A"/>
    <w:rsid w:val="00A8762D"/>
    <w:rsid w:val="00AA37CE"/>
    <w:rsid w:val="00AA6116"/>
    <w:rsid w:val="00AA779E"/>
    <w:rsid w:val="00AB1D4E"/>
    <w:rsid w:val="00AB6771"/>
    <w:rsid w:val="00AB7FD4"/>
    <w:rsid w:val="00AC1C17"/>
    <w:rsid w:val="00AC39C3"/>
    <w:rsid w:val="00AC4476"/>
    <w:rsid w:val="00AD2B50"/>
    <w:rsid w:val="00AE1488"/>
    <w:rsid w:val="00AE56FC"/>
    <w:rsid w:val="00AF0C7F"/>
    <w:rsid w:val="00B04ABB"/>
    <w:rsid w:val="00B106C8"/>
    <w:rsid w:val="00B10D08"/>
    <w:rsid w:val="00B22E13"/>
    <w:rsid w:val="00B31E98"/>
    <w:rsid w:val="00B34736"/>
    <w:rsid w:val="00B4159B"/>
    <w:rsid w:val="00B46C58"/>
    <w:rsid w:val="00B55BDD"/>
    <w:rsid w:val="00B70C80"/>
    <w:rsid w:val="00B733A5"/>
    <w:rsid w:val="00B843F4"/>
    <w:rsid w:val="00B87F87"/>
    <w:rsid w:val="00B94558"/>
    <w:rsid w:val="00BA710B"/>
    <w:rsid w:val="00BB06AE"/>
    <w:rsid w:val="00BB080C"/>
    <w:rsid w:val="00BB2CA7"/>
    <w:rsid w:val="00BC780C"/>
    <w:rsid w:val="00BD3F80"/>
    <w:rsid w:val="00BE13EB"/>
    <w:rsid w:val="00BE2ABA"/>
    <w:rsid w:val="00BF4423"/>
    <w:rsid w:val="00C032F5"/>
    <w:rsid w:val="00C12FD6"/>
    <w:rsid w:val="00C146A4"/>
    <w:rsid w:val="00C37832"/>
    <w:rsid w:val="00C400E7"/>
    <w:rsid w:val="00C4593E"/>
    <w:rsid w:val="00C51829"/>
    <w:rsid w:val="00C52214"/>
    <w:rsid w:val="00C5368A"/>
    <w:rsid w:val="00C615C4"/>
    <w:rsid w:val="00C62BFC"/>
    <w:rsid w:val="00C64EBE"/>
    <w:rsid w:val="00C71B8F"/>
    <w:rsid w:val="00C93DBE"/>
    <w:rsid w:val="00CA2F50"/>
    <w:rsid w:val="00CB12B9"/>
    <w:rsid w:val="00CB55F1"/>
    <w:rsid w:val="00CC0B72"/>
    <w:rsid w:val="00CD5054"/>
    <w:rsid w:val="00CE25D0"/>
    <w:rsid w:val="00CE58B8"/>
    <w:rsid w:val="00CE73F7"/>
    <w:rsid w:val="00CF7EAB"/>
    <w:rsid w:val="00D07327"/>
    <w:rsid w:val="00D177B0"/>
    <w:rsid w:val="00D30804"/>
    <w:rsid w:val="00D324A5"/>
    <w:rsid w:val="00D3295F"/>
    <w:rsid w:val="00D3640F"/>
    <w:rsid w:val="00D40C63"/>
    <w:rsid w:val="00D42B4C"/>
    <w:rsid w:val="00D432C8"/>
    <w:rsid w:val="00D435B4"/>
    <w:rsid w:val="00D44F34"/>
    <w:rsid w:val="00D45042"/>
    <w:rsid w:val="00D46A41"/>
    <w:rsid w:val="00D51612"/>
    <w:rsid w:val="00D53F45"/>
    <w:rsid w:val="00D55F5A"/>
    <w:rsid w:val="00D5797E"/>
    <w:rsid w:val="00D57E57"/>
    <w:rsid w:val="00D6336F"/>
    <w:rsid w:val="00D64EFF"/>
    <w:rsid w:val="00D76068"/>
    <w:rsid w:val="00D807E0"/>
    <w:rsid w:val="00D944A4"/>
    <w:rsid w:val="00DB569B"/>
    <w:rsid w:val="00DD0E27"/>
    <w:rsid w:val="00DD57E1"/>
    <w:rsid w:val="00DD6D66"/>
    <w:rsid w:val="00DE1EEC"/>
    <w:rsid w:val="00DE6449"/>
    <w:rsid w:val="00DE6687"/>
    <w:rsid w:val="00DE7770"/>
    <w:rsid w:val="00DF1B25"/>
    <w:rsid w:val="00DF5515"/>
    <w:rsid w:val="00E002A5"/>
    <w:rsid w:val="00E158B2"/>
    <w:rsid w:val="00E23336"/>
    <w:rsid w:val="00E25E2E"/>
    <w:rsid w:val="00E351CB"/>
    <w:rsid w:val="00E37A77"/>
    <w:rsid w:val="00E42317"/>
    <w:rsid w:val="00E518C8"/>
    <w:rsid w:val="00E52D0F"/>
    <w:rsid w:val="00E57D5E"/>
    <w:rsid w:val="00E649EB"/>
    <w:rsid w:val="00E71C38"/>
    <w:rsid w:val="00EA0570"/>
    <w:rsid w:val="00EA5920"/>
    <w:rsid w:val="00EA594D"/>
    <w:rsid w:val="00EA7B22"/>
    <w:rsid w:val="00EC28E5"/>
    <w:rsid w:val="00EC3C1E"/>
    <w:rsid w:val="00ED0D54"/>
    <w:rsid w:val="00ED1882"/>
    <w:rsid w:val="00ED5B7F"/>
    <w:rsid w:val="00EE2256"/>
    <w:rsid w:val="00EE4443"/>
    <w:rsid w:val="00EF14CC"/>
    <w:rsid w:val="00EF4AEC"/>
    <w:rsid w:val="00EF7825"/>
    <w:rsid w:val="00F00928"/>
    <w:rsid w:val="00F0257A"/>
    <w:rsid w:val="00F04C35"/>
    <w:rsid w:val="00F0671F"/>
    <w:rsid w:val="00F1470E"/>
    <w:rsid w:val="00F16C18"/>
    <w:rsid w:val="00F177AC"/>
    <w:rsid w:val="00F24F5B"/>
    <w:rsid w:val="00F26421"/>
    <w:rsid w:val="00F27FDA"/>
    <w:rsid w:val="00F35FBA"/>
    <w:rsid w:val="00F50360"/>
    <w:rsid w:val="00F6027A"/>
    <w:rsid w:val="00F713BB"/>
    <w:rsid w:val="00F72A3C"/>
    <w:rsid w:val="00F83023"/>
    <w:rsid w:val="00F856AA"/>
    <w:rsid w:val="00F9211F"/>
    <w:rsid w:val="00FA329D"/>
    <w:rsid w:val="00FB1D1F"/>
    <w:rsid w:val="00FB4961"/>
    <w:rsid w:val="00FB562F"/>
    <w:rsid w:val="00FC2D31"/>
    <w:rsid w:val="00FC42D8"/>
    <w:rsid w:val="00FC5AC5"/>
    <w:rsid w:val="00FD2944"/>
    <w:rsid w:val="00FF40FA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7D461F"/>
    <w:rPr>
      <w:sz w:val="20"/>
      <w:szCs w:val="20"/>
    </w:rPr>
  </w:style>
  <w:style w:type="character" w:styleId="FootnoteReference">
    <w:name w:val="footnote reference"/>
    <w:semiHidden/>
    <w:rsid w:val="007D461F"/>
    <w:rPr>
      <w:vertAlign w:val="superscript"/>
    </w:rPr>
  </w:style>
  <w:style w:type="paragraph" w:styleId="BalloonText">
    <w:name w:val="Balloon Text"/>
    <w:basedOn w:val="Normal"/>
    <w:link w:val="BalloonTextChar"/>
    <w:rsid w:val="00F14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470E"/>
    <w:rPr>
      <w:rFonts w:ascii="Tahoma" w:hAnsi="Tahoma" w:cs="Tahoma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003D1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21C8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C81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21C8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1C81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7D461F"/>
    <w:rPr>
      <w:sz w:val="20"/>
      <w:szCs w:val="20"/>
    </w:rPr>
  </w:style>
  <w:style w:type="character" w:styleId="FootnoteReference">
    <w:name w:val="footnote reference"/>
    <w:semiHidden/>
    <w:rsid w:val="007D461F"/>
    <w:rPr>
      <w:vertAlign w:val="superscript"/>
    </w:rPr>
  </w:style>
  <w:style w:type="paragraph" w:styleId="BalloonText">
    <w:name w:val="Balloon Text"/>
    <w:basedOn w:val="Normal"/>
    <w:link w:val="BalloonTextChar"/>
    <w:rsid w:val="00F14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470E"/>
    <w:rPr>
      <w:rFonts w:ascii="Tahoma" w:hAnsi="Tahoma" w:cs="Tahoma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003D1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21C8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C81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21C8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1C81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3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77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AD87-72B2-48D6-B590-7277D6BF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block exemption Regulation (Reg</vt:lpstr>
    </vt:vector>
  </TitlesOfParts>
  <Company>European Commission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block exemption Regulation (Reg</dc:title>
  <dc:creator>Stephanie Nieuwbourg</dc:creator>
  <cp:lastModifiedBy>Ивелина Кирилова</cp:lastModifiedBy>
  <cp:revision>2</cp:revision>
  <cp:lastPrinted>2015-01-23T08:21:00Z</cp:lastPrinted>
  <dcterms:created xsi:type="dcterms:W3CDTF">2016-04-05T12:31:00Z</dcterms:created>
  <dcterms:modified xsi:type="dcterms:W3CDTF">2016-04-05T12:31:00Z</dcterms:modified>
</cp:coreProperties>
</file>